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62" w:rsidRPr="00AB1922" w:rsidRDefault="00156121" w:rsidP="00E764BC">
      <w:pPr>
        <w:widowControl w:val="0"/>
        <w:adjustRightInd/>
        <w:snapToGrid/>
        <w:spacing w:after="0" w:line="360" w:lineRule="auto"/>
        <w:ind w:firstLineChars="200" w:firstLine="550"/>
        <w:jc w:val="center"/>
        <w:rPr>
          <w:rFonts w:ascii="仿宋" w:eastAsia="仿宋" w:hAnsi="仿宋" w:cs="Times New Roman"/>
          <w:b/>
          <w:kern w:val="2"/>
          <w:sz w:val="28"/>
          <w:szCs w:val="28"/>
        </w:rPr>
      </w:pPr>
      <w:r w:rsidRPr="00156121">
        <w:rPr>
          <w:rFonts w:ascii="仿宋" w:eastAsia="仿宋" w:hAnsi="仿宋" w:cs="Times New Roman" w:hint="eastAsia"/>
          <w:b/>
          <w:kern w:val="2"/>
          <w:sz w:val="28"/>
          <w:szCs w:val="28"/>
        </w:rPr>
        <w:t>××××</w:t>
      </w:r>
      <w:r w:rsidR="00ED30FC" w:rsidRPr="00AB1922">
        <w:rPr>
          <w:rFonts w:ascii="仿宋" w:eastAsia="仿宋" w:hAnsi="仿宋" w:cs="Times New Roman" w:hint="eastAsia"/>
          <w:b/>
          <w:kern w:val="2"/>
          <w:sz w:val="28"/>
          <w:szCs w:val="28"/>
        </w:rPr>
        <w:t>银行股份有限公司</w:t>
      </w:r>
    </w:p>
    <w:p w:rsidR="00EE1562" w:rsidRPr="00AB1922" w:rsidRDefault="00ED30FC" w:rsidP="00E764BC">
      <w:pPr>
        <w:pStyle w:val="af1"/>
        <w:ind w:firstLine="550"/>
        <w:rPr>
          <w:rFonts w:ascii="仿宋" w:eastAsia="仿宋" w:hAnsi="仿宋"/>
        </w:rPr>
      </w:pPr>
      <w:r w:rsidRPr="00AB1922">
        <w:rPr>
          <w:rFonts w:ascii="仿宋" w:eastAsia="仿宋" w:hAnsi="仿宋" w:hint="eastAsia"/>
        </w:rPr>
        <w:t>银行承兑汇票贴现</w:t>
      </w:r>
      <w:r w:rsidR="008F128C">
        <w:rPr>
          <w:rFonts w:ascii="仿宋" w:eastAsia="仿宋" w:hAnsi="仿宋" w:hint="eastAsia"/>
        </w:rPr>
        <w:t>业务</w:t>
      </w:r>
      <w:r w:rsidRPr="00AB1922">
        <w:rPr>
          <w:rFonts w:ascii="仿宋" w:eastAsia="仿宋" w:hAnsi="仿宋" w:hint="eastAsia"/>
        </w:rPr>
        <w:t>管理办法</w:t>
      </w:r>
    </w:p>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第一章  总则</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bookmarkStart w:id="0" w:name="_Toc74489671"/>
      <w:r w:rsidRPr="00AB1922">
        <w:rPr>
          <w:rFonts w:ascii="仿宋" w:eastAsia="仿宋" w:hAnsi="仿宋" w:cs="Times New Roman" w:hint="eastAsia"/>
          <w:kern w:val="2"/>
          <w:sz w:val="28"/>
          <w:szCs w:val="28"/>
        </w:rPr>
        <w:t>第一条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为进一步规范</w:t>
      </w:r>
      <w:r w:rsidR="00156121" w:rsidRPr="00156121">
        <w:rPr>
          <w:rFonts w:ascii="仿宋" w:eastAsia="仿宋" w:hAnsi="仿宋" w:cs="Times New Roman" w:hint="eastAsia"/>
          <w:kern w:val="2"/>
          <w:sz w:val="28"/>
          <w:szCs w:val="28"/>
        </w:rPr>
        <w:t>××××</w:t>
      </w:r>
      <w:r w:rsidRPr="00AB1922">
        <w:rPr>
          <w:rFonts w:ascii="仿宋" w:eastAsia="仿宋" w:hAnsi="仿宋" w:cs="Times New Roman" w:hint="eastAsia"/>
          <w:kern w:val="2"/>
          <w:sz w:val="28"/>
          <w:szCs w:val="28"/>
        </w:rPr>
        <w:t>银行股份有限公司（以下简称“本行”）银行承兑汇票（以下简称“银票”）贴现业务，保障银票贴现业务健康发展，规范操作行为，防控业务风险。根据《中华人民共和国票据法》、《支付结算办法》、《贷款通则》等法律法规以及省联社有关规章制度，结合本行实际，制定本办法。</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第二条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贴现业务是指银票的持有人（或收款人）在需要资金时，凭其收取的未到期银票，通过背书方式转让给本行，本行在票面金额中扣除贴现利息将资金贷付给持票人（或收款人），银票到期后，本行按票面金额向银票的承兑人（或付款人）收取票款的行为。</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第三条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办理贴现业务必须始终坚持“</w:t>
      </w:r>
      <w:r w:rsidRPr="00AB1922">
        <w:rPr>
          <w:rFonts w:ascii="仿宋" w:eastAsia="仿宋" w:hAnsi="仿宋" w:cs="Times New Roman"/>
          <w:kern w:val="2"/>
          <w:sz w:val="28"/>
          <w:szCs w:val="28"/>
        </w:rPr>
        <w:t>统一授信、审贷分离、责权分明</w:t>
      </w:r>
      <w:r w:rsidRPr="00AB1922">
        <w:rPr>
          <w:rFonts w:ascii="仿宋" w:eastAsia="仿宋" w:hAnsi="仿宋" w:cs="Times New Roman" w:hint="eastAsia"/>
          <w:kern w:val="2"/>
          <w:sz w:val="28"/>
          <w:szCs w:val="28"/>
        </w:rPr>
        <w:t>”的原则。</w:t>
      </w:r>
    </w:p>
    <w:bookmarkEnd w:id="0"/>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第二章  职责分工</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第四条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各支行、营业部、公司业务部、小微业务部（以下统称“经办行”）主要职责：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（一）负责受理辖区内的银行承兑汇票贴现业务；</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（二）负责对申请人进行资信调查，按要求搜集资料，做好贴现申请人用信申请；</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（三）负责对拟办理贴现业务申请人提交资料的真实性、一致性、</w:t>
      </w:r>
      <w:r w:rsidRPr="00BB4098">
        <w:rPr>
          <w:rFonts w:ascii="仿宋" w:eastAsia="仿宋" w:hAnsi="仿宋" w:cs="Times New Roman" w:hint="eastAsia"/>
          <w:kern w:val="2"/>
          <w:sz w:val="28"/>
          <w:szCs w:val="28"/>
        </w:rPr>
        <w:lastRenderedPageBreak/>
        <w:t>有效性初审；</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（四）负责信贷管理系统相关数据资料的录入；</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（五）负责贴现资料的传递、监督检查贴现资金使用情况等工作；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（六）采取复印，扫描等方式做好贴现业务资料的备查工作。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第五条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授信</w:t>
      </w:r>
      <w:proofErr w:type="gramStart"/>
      <w:r w:rsidRPr="00BB4098">
        <w:rPr>
          <w:rFonts w:ascii="仿宋" w:eastAsia="仿宋" w:hAnsi="仿宋" w:cs="Times New Roman" w:hint="eastAsia"/>
          <w:kern w:val="2"/>
          <w:sz w:val="28"/>
          <w:szCs w:val="28"/>
        </w:rPr>
        <w:t>评审部</w:t>
      </w:r>
      <w:proofErr w:type="gramEnd"/>
      <w:r w:rsidRPr="00BB4098">
        <w:rPr>
          <w:rFonts w:ascii="仿宋" w:eastAsia="仿宋" w:hAnsi="仿宋" w:cs="Times New Roman" w:hint="eastAsia"/>
          <w:kern w:val="2"/>
          <w:sz w:val="28"/>
          <w:szCs w:val="28"/>
        </w:rPr>
        <w:t>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对经办行贴现申报资料的合法性、合</w:t>
      </w:r>
      <w:proofErr w:type="gramStart"/>
      <w:r w:rsidRPr="00BB4098">
        <w:rPr>
          <w:rFonts w:ascii="仿宋" w:eastAsia="仿宋" w:hAnsi="仿宋" w:cs="Times New Roman" w:hint="eastAsia"/>
          <w:kern w:val="2"/>
          <w:sz w:val="28"/>
          <w:szCs w:val="28"/>
        </w:rPr>
        <w:t>规</w:t>
      </w:r>
      <w:proofErr w:type="gramEnd"/>
      <w:r w:rsidRPr="00BB4098">
        <w:rPr>
          <w:rFonts w:ascii="仿宋" w:eastAsia="仿宋" w:hAnsi="仿宋" w:cs="Times New Roman" w:hint="eastAsia"/>
          <w:kern w:val="2"/>
          <w:sz w:val="28"/>
          <w:szCs w:val="28"/>
        </w:rPr>
        <w:t>性和完整性进行审核，对符合贴现要求的，根据本行授信流程进行审批，确定授信额度。</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第六条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金融市场部主要职责：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（一）负责拟定本行银行承兑汇票贴现管理制度及具体操作流程；</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（二）负责根据市场利率协助计划财务部确定贴现利率；</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（三）负责贴现业务资料的审核工作；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（四）负责本行贴现</w:t>
      </w:r>
      <w:proofErr w:type="gramStart"/>
      <w:r w:rsidRPr="00BB4098">
        <w:rPr>
          <w:rFonts w:ascii="仿宋" w:eastAsia="仿宋" w:hAnsi="仿宋" w:cs="Times New Roman" w:hint="eastAsia"/>
          <w:kern w:val="2"/>
          <w:sz w:val="28"/>
          <w:szCs w:val="28"/>
        </w:rPr>
        <w:t>业务台账建立</w:t>
      </w:r>
      <w:proofErr w:type="gramEnd"/>
      <w:r w:rsidRPr="00BB4098">
        <w:rPr>
          <w:rFonts w:ascii="仿宋" w:eastAsia="仿宋" w:hAnsi="仿宋" w:cs="Times New Roman" w:hint="eastAsia"/>
          <w:kern w:val="2"/>
          <w:sz w:val="28"/>
          <w:szCs w:val="28"/>
        </w:rPr>
        <w:t>并做好本行银票贴现业务的考核和测算工作，按照外部监管的规定报送相关报表；</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（五）负责已贴现业务资料的收集、保管，装订、归档工作。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第七条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信贷管理部主要职责：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负责贴现业务的用信限额管理。</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第八条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运营管理部下属清算中心主要职责：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（一）负责银票真伪（含背书）的查验与识别；</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（二）负责会计核算手续的办理、资金的划拨等工作；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（三）负责已贴现银票实物的保管工作；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（四）负责本行已贴现</w:t>
      </w:r>
      <w:proofErr w:type="gramStart"/>
      <w:r w:rsidRPr="00BB4098">
        <w:rPr>
          <w:rFonts w:ascii="仿宋" w:eastAsia="仿宋" w:hAnsi="仿宋" w:cs="Times New Roman" w:hint="eastAsia"/>
          <w:kern w:val="2"/>
          <w:sz w:val="28"/>
          <w:szCs w:val="28"/>
        </w:rPr>
        <w:t>银票台</w:t>
      </w:r>
      <w:proofErr w:type="gramEnd"/>
      <w:r w:rsidRPr="00BB4098">
        <w:rPr>
          <w:rFonts w:ascii="仿宋" w:eastAsia="仿宋" w:hAnsi="仿宋" w:cs="Times New Roman" w:hint="eastAsia"/>
          <w:kern w:val="2"/>
          <w:sz w:val="28"/>
          <w:szCs w:val="28"/>
        </w:rPr>
        <w:t>账的建立，负责到期银票委托收款工</w:t>
      </w:r>
      <w:r w:rsidRPr="00BB4098">
        <w:rPr>
          <w:rFonts w:ascii="仿宋" w:eastAsia="仿宋" w:hAnsi="仿宋" w:cs="Times New Roman" w:hint="eastAsia"/>
          <w:kern w:val="2"/>
          <w:sz w:val="28"/>
          <w:szCs w:val="28"/>
        </w:rPr>
        <w:lastRenderedPageBreak/>
        <w:t>作，做好已贴现银票的出入库保管。</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第九条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合</w:t>
      </w:r>
      <w:proofErr w:type="gramStart"/>
      <w:r w:rsidRPr="00BB4098">
        <w:rPr>
          <w:rFonts w:ascii="仿宋" w:eastAsia="仿宋" w:hAnsi="仿宋" w:cs="Times New Roman" w:hint="eastAsia"/>
          <w:kern w:val="2"/>
          <w:sz w:val="28"/>
          <w:szCs w:val="28"/>
        </w:rPr>
        <w:t>规</w:t>
      </w:r>
      <w:proofErr w:type="gramEnd"/>
      <w:r w:rsidRPr="00BB4098">
        <w:rPr>
          <w:rFonts w:ascii="仿宋" w:eastAsia="仿宋" w:hAnsi="仿宋" w:cs="Times New Roman" w:hint="eastAsia"/>
          <w:kern w:val="2"/>
          <w:sz w:val="28"/>
          <w:szCs w:val="28"/>
        </w:rPr>
        <w:t>管理部主要职责：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（一）对本行《银票贴现业务管理办法以及操作流程》合</w:t>
      </w:r>
      <w:proofErr w:type="gramStart"/>
      <w:r w:rsidRPr="00BB4098">
        <w:rPr>
          <w:rFonts w:ascii="仿宋" w:eastAsia="仿宋" w:hAnsi="仿宋" w:cs="Times New Roman" w:hint="eastAsia"/>
          <w:kern w:val="2"/>
          <w:sz w:val="28"/>
          <w:szCs w:val="28"/>
        </w:rPr>
        <w:t>规</w:t>
      </w:r>
      <w:proofErr w:type="gramEnd"/>
      <w:r w:rsidRPr="00BB4098">
        <w:rPr>
          <w:rFonts w:ascii="仿宋" w:eastAsia="仿宋" w:hAnsi="仿宋" w:cs="Times New Roman" w:hint="eastAsia"/>
          <w:kern w:val="2"/>
          <w:sz w:val="28"/>
          <w:szCs w:val="28"/>
        </w:rPr>
        <w:t>性、有效性审核；</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（二）对与贴现业务相关合同、协议的法律、法规的合</w:t>
      </w:r>
      <w:proofErr w:type="gramStart"/>
      <w:r w:rsidRPr="00BB4098">
        <w:rPr>
          <w:rFonts w:ascii="仿宋" w:eastAsia="仿宋" w:hAnsi="仿宋" w:cs="Times New Roman" w:hint="eastAsia"/>
          <w:kern w:val="2"/>
          <w:sz w:val="28"/>
          <w:szCs w:val="28"/>
        </w:rPr>
        <w:t>规</w:t>
      </w:r>
      <w:proofErr w:type="gramEnd"/>
      <w:r w:rsidRPr="00BB4098">
        <w:rPr>
          <w:rFonts w:ascii="仿宋" w:eastAsia="仿宋" w:hAnsi="仿宋" w:cs="Times New Roman" w:hint="eastAsia"/>
          <w:kern w:val="2"/>
          <w:sz w:val="28"/>
          <w:szCs w:val="28"/>
        </w:rPr>
        <w:t>性进行审核；</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（三）结合本行具体实际，</w:t>
      </w:r>
      <w:proofErr w:type="gramStart"/>
      <w:r w:rsidRPr="00BB4098">
        <w:rPr>
          <w:rFonts w:ascii="仿宋" w:eastAsia="仿宋" w:hAnsi="仿宋" w:cs="Times New Roman" w:hint="eastAsia"/>
          <w:kern w:val="2"/>
          <w:sz w:val="28"/>
          <w:szCs w:val="28"/>
        </w:rPr>
        <w:t>对办法</w:t>
      </w:r>
      <w:proofErr w:type="gramEnd"/>
      <w:r w:rsidRPr="00BB4098">
        <w:rPr>
          <w:rFonts w:ascii="仿宋" w:eastAsia="仿宋" w:hAnsi="仿宋" w:cs="Times New Roman" w:hint="eastAsia"/>
          <w:kern w:val="2"/>
          <w:sz w:val="28"/>
          <w:szCs w:val="28"/>
        </w:rPr>
        <w:t>与流程提出具体修订建议。</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第十条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风险管理部主要职责：</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不定期对本行贴现业务开展分析，识别，监测和评估等活动，按要求出具并报送风险评估报告。</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第十一条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计划财务部主要负责本行银票贴现利率的具体确定，做好公布。</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第十二条</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审计部负责贴现业务</w:t>
      </w:r>
      <w:r w:rsidR="00BB4098" w:rsidRPr="00BB4098">
        <w:rPr>
          <w:rFonts w:ascii="仿宋" w:eastAsia="仿宋" w:hAnsi="仿宋" w:cs="Times New Roman" w:hint="eastAsia"/>
          <w:kern w:val="2"/>
          <w:sz w:val="28"/>
          <w:szCs w:val="28"/>
        </w:rPr>
        <w:t>的</w:t>
      </w:r>
      <w:r w:rsidRPr="00BB4098">
        <w:rPr>
          <w:rFonts w:ascii="仿宋" w:eastAsia="仿宋" w:hAnsi="仿宋" w:cs="Times New Roman" w:hint="eastAsia"/>
          <w:kern w:val="2"/>
          <w:sz w:val="28"/>
          <w:szCs w:val="28"/>
        </w:rPr>
        <w:t>检查和稽核</w:t>
      </w:r>
      <w:r w:rsidR="00BB4098" w:rsidRPr="00BB4098">
        <w:rPr>
          <w:rFonts w:ascii="仿宋" w:eastAsia="仿宋" w:hAnsi="仿宋" w:cs="Times New Roman" w:hint="eastAsia"/>
          <w:kern w:val="2"/>
          <w:sz w:val="28"/>
          <w:szCs w:val="28"/>
        </w:rPr>
        <w:t>审计</w:t>
      </w:r>
      <w:r w:rsidRPr="00BB4098">
        <w:rPr>
          <w:rFonts w:ascii="仿宋" w:eastAsia="仿宋" w:hAnsi="仿宋" w:cs="Times New Roman" w:hint="eastAsia"/>
          <w:kern w:val="2"/>
          <w:sz w:val="28"/>
          <w:szCs w:val="28"/>
        </w:rPr>
        <w:t>工作。</w:t>
      </w:r>
    </w:p>
    <w:p w:rsidR="00EE1562" w:rsidRPr="00BB4098" w:rsidRDefault="00ED30FC"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第十三条  资产保全部负责本行票据时效的追诉。</w:t>
      </w:r>
    </w:p>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第三章  贴现期限和利率</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第十四条  贴现期限。贴现期限指从银票贴现之日起至银票到期之日止，到期日是法定休假日的，以休假日的次日为最后一日。承兑行在异地的，贴现期限的计算应另加3天的划款邮程。</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第十五条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贴现利率。本行根据利率市场变动情况、资金运用状况、票面金额的大小以及银票签发行的信誉情况等因素，结合人民银行的有关规定，合理确定贴现利率。具体操作中可视申请人信用状况、对本行</w:t>
      </w:r>
      <w:r w:rsidRPr="00AB1922">
        <w:rPr>
          <w:rFonts w:ascii="仿宋" w:eastAsia="仿宋" w:hAnsi="仿宋" w:cs="Times New Roman" w:hint="eastAsia"/>
          <w:kern w:val="2"/>
          <w:sz w:val="28"/>
          <w:szCs w:val="28"/>
        </w:rPr>
        <w:lastRenderedPageBreak/>
        <w:t>综合贡献度、贴现业务的金额和期限等情况，在利率上实行区别对待。</w:t>
      </w:r>
    </w:p>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第四章  贴现基本规定</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第十六条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办理贴现业务必须具备下列基本条件：</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（一）申请人为依法成立的企业法人或其他经济组织；</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（二）申请人具有良好的经营和资信状况；</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（三）申请人在本行及其下辖网点开立结算账户；</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（四）申请人必须</w:t>
      </w:r>
      <w:r w:rsidRPr="00BB4098">
        <w:rPr>
          <w:rFonts w:ascii="仿宋" w:eastAsia="仿宋" w:hAnsi="仿宋" w:cs="Times New Roman" w:hint="eastAsia"/>
          <w:kern w:val="2"/>
          <w:sz w:val="28"/>
          <w:szCs w:val="28"/>
        </w:rPr>
        <w:t>与出票人或其直接前</w:t>
      </w:r>
      <w:r w:rsidRPr="00AB1922">
        <w:rPr>
          <w:rFonts w:ascii="仿宋" w:eastAsia="仿宋" w:hAnsi="仿宋" w:cs="Times New Roman" w:hint="eastAsia"/>
          <w:kern w:val="2"/>
          <w:sz w:val="28"/>
          <w:szCs w:val="28"/>
        </w:rPr>
        <w:t>手之间具有合法、真实、有效的商品交易关系；</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（五）银票必须</w:t>
      </w:r>
      <w:r w:rsidRPr="00AB1922">
        <w:rPr>
          <w:rFonts w:ascii="仿宋" w:eastAsia="仿宋" w:hAnsi="仿宋" w:cs="Times New Roman"/>
          <w:kern w:val="2"/>
          <w:sz w:val="28"/>
          <w:szCs w:val="28"/>
        </w:rPr>
        <w:t>是根据《中华人民共和国票据法》及有关规定签发的要素齐全的有效票</w:t>
      </w:r>
      <w:r w:rsidRPr="00AB1922">
        <w:rPr>
          <w:rFonts w:ascii="仿宋" w:eastAsia="仿宋" w:hAnsi="仿宋" w:cs="Times New Roman" w:hint="eastAsia"/>
          <w:kern w:val="2"/>
          <w:sz w:val="28"/>
          <w:szCs w:val="28"/>
        </w:rPr>
        <w:t>据；</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（六）申请人必须办好银票背书转让手续，并按照《贴现业务管理办法》规定提供相关资料。</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第十七条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有下列情况之一的，贴现业务不予办理：</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（一）银票期限超过6个月的；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（二）银票载明“不得转让”、“委托收款”字样的；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（三）银票要素不齐全、内容涂改的或有关签章不符要求的；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（四）银票背书不连续的；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（五）</w:t>
      </w:r>
      <w:proofErr w:type="gramStart"/>
      <w:r w:rsidRPr="00AB1922">
        <w:rPr>
          <w:rFonts w:ascii="仿宋" w:eastAsia="仿宋" w:hAnsi="仿宋" w:cs="Times New Roman" w:hint="eastAsia"/>
          <w:kern w:val="2"/>
          <w:sz w:val="28"/>
          <w:szCs w:val="28"/>
        </w:rPr>
        <w:t>粘单使用</w:t>
      </w:r>
      <w:proofErr w:type="gramEnd"/>
      <w:r w:rsidRPr="00AB1922">
        <w:rPr>
          <w:rFonts w:ascii="仿宋" w:eastAsia="仿宋" w:hAnsi="仿宋" w:cs="Times New Roman" w:hint="eastAsia"/>
          <w:kern w:val="2"/>
          <w:sz w:val="28"/>
          <w:szCs w:val="28"/>
        </w:rPr>
        <w:t>不规范的；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（六）银票权利人已向法院申请公示催告的；</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（七）融资性的银票或承兑行查复有“有他行查询”但本行未向查询行进行查询的银票；</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lastRenderedPageBreak/>
        <w:t>（八）经办行或贴现申请人使用重复或不符要求的发票或购销合同办理贴现业务，则暂停经办行及客户办理贴现业务的资格；</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（九）不符合贴现业务规定的其他情况。</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第十八条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办理贴现业务的经办行在贴现业务之前必须向承兑行办理银票的查询，取得查询</w:t>
      </w:r>
      <w:proofErr w:type="gramStart"/>
      <w:r w:rsidRPr="00AB1922">
        <w:rPr>
          <w:rFonts w:ascii="仿宋" w:eastAsia="仿宋" w:hAnsi="仿宋" w:cs="Times New Roman" w:hint="eastAsia"/>
          <w:kern w:val="2"/>
          <w:sz w:val="28"/>
          <w:szCs w:val="28"/>
        </w:rPr>
        <w:t>查复书</w:t>
      </w:r>
      <w:proofErr w:type="gramEnd"/>
      <w:r w:rsidRPr="00AB1922">
        <w:rPr>
          <w:rFonts w:ascii="仿宋" w:eastAsia="仿宋" w:hAnsi="仿宋" w:cs="Times New Roman" w:hint="eastAsia"/>
          <w:kern w:val="2"/>
          <w:sz w:val="28"/>
          <w:szCs w:val="28"/>
        </w:rPr>
        <w:t>后方可办理贴现业务。</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查询书应包括以下因素：银票票面要素录入齐全，是否有他行查询情况，有无挂失止付、冻结、质押或公示催告等。</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proofErr w:type="gramStart"/>
      <w:r w:rsidRPr="00AB1922">
        <w:rPr>
          <w:rFonts w:ascii="仿宋" w:eastAsia="仿宋" w:hAnsi="仿宋" w:cs="Times New Roman" w:hint="eastAsia"/>
          <w:kern w:val="2"/>
          <w:sz w:val="28"/>
          <w:szCs w:val="28"/>
        </w:rPr>
        <w:t>查复书</w:t>
      </w:r>
      <w:proofErr w:type="gramEnd"/>
      <w:r w:rsidRPr="00AB1922">
        <w:rPr>
          <w:rFonts w:ascii="仿宋" w:eastAsia="仿宋" w:hAnsi="仿宋" w:cs="Times New Roman" w:hint="eastAsia"/>
          <w:kern w:val="2"/>
          <w:sz w:val="28"/>
          <w:szCs w:val="28"/>
        </w:rPr>
        <w:t>应包括以下内容：查复书上必须注明银票有无冻结、挂失、止付、质押、特别暗记、机打及他行查询等信息。</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对于有疑问或数额较大的银票，要传真核对或实地查询核对，经实地验票，出票行仍出具“真假自辨”意见的银票，原则上不予受理。</w:t>
      </w:r>
    </w:p>
    <w:p w:rsidR="00EE1562" w:rsidRPr="00BB4098" w:rsidRDefault="00ED30FC" w:rsidP="00BB4098">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第五章   风险管理</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第十九条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对发现客户办理贴现业务短期内大幅度增加、新开户客户即办理大额贴现申请、贸易流通类客户频繁发生贴现业务、办理的贴现业务资金超过其经营规模等情况的，各经办行客户经理要深入了解客户的真实情况，做好贷前的尽职调查。</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 xml:space="preserve">第二十条   已办理完贴现业务的，经办行应跟踪核实贴现资金的具体用途以及使用方向，查看资金有无回流至出票人，有无流入股市，房产等国家禁止的行业。发现苗头，及时采取措施，有效防范风险，必要时暂停其贴现业务资格。 </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第二十一条    清算中心要做好银票到期的托收工作，发现到期票</w:t>
      </w:r>
      <w:r w:rsidRPr="00AB1922">
        <w:rPr>
          <w:rFonts w:ascii="仿宋" w:eastAsia="仿宋" w:hAnsi="仿宋" w:cs="Times New Roman" w:hint="eastAsia"/>
          <w:kern w:val="2"/>
          <w:sz w:val="28"/>
          <w:szCs w:val="28"/>
        </w:rPr>
        <w:lastRenderedPageBreak/>
        <w:t>款未到账应及时告知信贷管理部以及经办行客户经理，直接从客户</w:t>
      </w:r>
      <w:proofErr w:type="gramStart"/>
      <w:r w:rsidRPr="00AB1922">
        <w:rPr>
          <w:rFonts w:ascii="仿宋" w:eastAsia="仿宋" w:hAnsi="仿宋" w:cs="Times New Roman" w:hint="eastAsia"/>
          <w:kern w:val="2"/>
          <w:sz w:val="28"/>
          <w:szCs w:val="28"/>
        </w:rPr>
        <w:t>账</w:t>
      </w:r>
      <w:proofErr w:type="gramEnd"/>
      <w:r w:rsidRPr="00AB1922">
        <w:rPr>
          <w:rFonts w:ascii="仿宋" w:eastAsia="仿宋" w:hAnsi="仿宋" w:cs="Times New Roman" w:hint="eastAsia"/>
          <w:kern w:val="2"/>
          <w:sz w:val="28"/>
          <w:szCs w:val="28"/>
        </w:rPr>
        <w:t>进行款项的划转，对客户账户资金不足，视为逾期贷款，纳入本行不良贷款管理，清算中心要协助好经办</w:t>
      </w:r>
      <w:proofErr w:type="gramStart"/>
      <w:r w:rsidRPr="00AB1922">
        <w:rPr>
          <w:rFonts w:ascii="仿宋" w:eastAsia="仿宋" w:hAnsi="仿宋" w:cs="Times New Roman" w:hint="eastAsia"/>
          <w:kern w:val="2"/>
          <w:sz w:val="28"/>
          <w:szCs w:val="28"/>
        </w:rPr>
        <w:t>行做</w:t>
      </w:r>
      <w:proofErr w:type="gramEnd"/>
      <w:r w:rsidRPr="00AB1922">
        <w:rPr>
          <w:rFonts w:ascii="仿宋" w:eastAsia="仿宋" w:hAnsi="仿宋" w:cs="Times New Roman" w:hint="eastAsia"/>
          <w:kern w:val="2"/>
          <w:sz w:val="28"/>
          <w:szCs w:val="28"/>
        </w:rPr>
        <w:t>好款项的跟踪。</w:t>
      </w:r>
    </w:p>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第六章  档案管理</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第二十二条  经办行应按要求做好以下资料的保管：</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（一）</w:t>
      </w:r>
      <w:r w:rsidRPr="00AB1922">
        <w:rPr>
          <w:rFonts w:ascii="仿宋" w:eastAsia="仿宋" w:hAnsi="仿宋" w:cs="Times New Roman"/>
          <w:kern w:val="2"/>
          <w:sz w:val="28"/>
          <w:szCs w:val="28"/>
        </w:rPr>
        <w:t>企业法人资格证明文件及有关法律文件</w:t>
      </w:r>
      <w:r w:rsidRPr="00AB1922">
        <w:rPr>
          <w:rFonts w:ascii="仿宋" w:eastAsia="仿宋" w:hAnsi="仿宋" w:cs="Times New Roman" w:hint="eastAsia"/>
          <w:kern w:val="2"/>
          <w:sz w:val="28"/>
          <w:szCs w:val="28"/>
        </w:rPr>
        <w:t>，包括：</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（1）</w:t>
      </w:r>
      <w:r w:rsidRPr="00AB1922">
        <w:rPr>
          <w:rFonts w:ascii="仿宋" w:eastAsia="仿宋" w:hAnsi="仿宋" w:cs="Times New Roman"/>
          <w:kern w:val="2"/>
          <w:sz w:val="28"/>
          <w:szCs w:val="28"/>
        </w:rPr>
        <w:t>经年审合格的</w:t>
      </w:r>
      <w:r w:rsidRPr="00AB1922">
        <w:rPr>
          <w:rFonts w:ascii="仿宋" w:eastAsia="仿宋" w:hAnsi="仿宋" w:cs="Times New Roman" w:hint="eastAsia"/>
          <w:kern w:val="2"/>
          <w:sz w:val="28"/>
          <w:szCs w:val="28"/>
        </w:rPr>
        <w:t>三证合一</w:t>
      </w:r>
      <w:r w:rsidRPr="00AB1922">
        <w:rPr>
          <w:rFonts w:ascii="仿宋" w:eastAsia="仿宋" w:hAnsi="仿宋" w:cs="Times New Roman"/>
          <w:kern w:val="2"/>
          <w:sz w:val="28"/>
          <w:szCs w:val="28"/>
        </w:rPr>
        <w:t>营业执照;</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（2）企业（法人）基本账户开户许可证；</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（3）</w:t>
      </w:r>
      <w:r w:rsidRPr="00AB1922">
        <w:rPr>
          <w:rFonts w:ascii="仿宋" w:eastAsia="仿宋" w:hAnsi="仿宋" w:cs="Times New Roman"/>
          <w:kern w:val="2"/>
          <w:sz w:val="28"/>
          <w:szCs w:val="28"/>
        </w:rPr>
        <w:t>企业法人代表证明书或授权委托书</w:t>
      </w:r>
      <w:r w:rsidRPr="00AB1922">
        <w:rPr>
          <w:rFonts w:ascii="仿宋" w:eastAsia="仿宋" w:hAnsi="仿宋" w:cs="Times New Roman" w:hint="eastAsia"/>
          <w:kern w:val="2"/>
          <w:sz w:val="28"/>
          <w:szCs w:val="28"/>
        </w:rPr>
        <w:t>；</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（4）董事会（股东会）决议；</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（5）其他需要提供的与贴现业务相关的资料。</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（二）</w:t>
      </w:r>
      <w:r w:rsidRPr="00AB1922">
        <w:rPr>
          <w:rFonts w:ascii="仿宋" w:eastAsia="仿宋" w:hAnsi="仿宋" w:cs="Times New Roman"/>
          <w:kern w:val="2"/>
          <w:sz w:val="28"/>
          <w:szCs w:val="28"/>
        </w:rPr>
        <w:t>贴现申请人的近期财务报表</w:t>
      </w:r>
      <w:r w:rsidRPr="00AB1922">
        <w:rPr>
          <w:rFonts w:ascii="仿宋" w:eastAsia="仿宋" w:hAnsi="仿宋" w:cs="Times New Roman" w:hint="eastAsia"/>
          <w:kern w:val="2"/>
          <w:sz w:val="28"/>
          <w:szCs w:val="28"/>
        </w:rPr>
        <w:t>。</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上述资料均需加章贴现单位公章，且为A4纸复印件或扫描文件。</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r w:rsidRPr="00AB1922">
        <w:rPr>
          <w:rFonts w:ascii="仿宋" w:eastAsia="仿宋" w:hAnsi="仿宋" w:cs="Times New Roman" w:hint="eastAsia"/>
          <w:kern w:val="2"/>
          <w:sz w:val="28"/>
          <w:szCs w:val="28"/>
        </w:rPr>
        <w:t>第二十三条</w:t>
      </w:r>
      <w:r w:rsidR="00BB4098">
        <w:rPr>
          <w:rFonts w:ascii="仿宋" w:eastAsia="仿宋" w:hAnsi="仿宋" w:cs="Times New Roman" w:hint="eastAsia"/>
          <w:kern w:val="2"/>
          <w:sz w:val="28"/>
          <w:szCs w:val="28"/>
        </w:rPr>
        <w:t xml:space="preserve"> </w:t>
      </w:r>
      <w:r w:rsidRPr="00BB4098">
        <w:rPr>
          <w:rFonts w:ascii="仿宋" w:eastAsia="仿宋" w:hAnsi="仿宋" w:cs="Times New Roman"/>
          <w:kern w:val="2"/>
          <w:sz w:val="28"/>
          <w:szCs w:val="28"/>
        </w:rPr>
        <w:t xml:space="preserve"> </w:t>
      </w:r>
      <w:r w:rsidRPr="00BB4098">
        <w:rPr>
          <w:rFonts w:ascii="仿宋" w:eastAsia="仿宋" w:hAnsi="仿宋" w:cs="Times New Roman" w:hint="eastAsia"/>
          <w:kern w:val="2"/>
          <w:sz w:val="28"/>
          <w:szCs w:val="28"/>
        </w:rPr>
        <w:t>金融市场部负</w:t>
      </w:r>
      <w:r w:rsidRPr="00AB1922">
        <w:rPr>
          <w:rFonts w:ascii="仿宋" w:eastAsia="仿宋" w:hAnsi="仿宋" w:cs="Times New Roman" w:hint="eastAsia"/>
          <w:kern w:val="2"/>
          <w:sz w:val="28"/>
          <w:szCs w:val="28"/>
        </w:rPr>
        <w:t>责建立贴现登记台账，做好如：贴现申请书、贴现协议书、贴现贷款放款通知书及银票复印件、查询查复书、税务发票和商品交易合同复印件等贴现业务相关资料的装订保管。</w:t>
      </w:r>
    </w:p>
    <w:p w:rsidR="00EE1562" w:rsidRPr="00AB1922" w:rsidRDefault="00ED30FC" w:rsidP="00E764BC">
      <w:pPr>
        <w:widowControl w:val="0"/>
        <w:adjustRightInd/>
        <w:snapToGrid/>
        <w:spacing w:after="0" w:line="360" w:lineRule="auto"/>
        <w:ind w:firstLineChars="200" w:firstLine="548"/>
        <w:jc w:val="both"/>
        <w:rPr>
          <w:rFonts w:ascii="仿宋" w:eastAsia="仿宋" w:hAnsi="仿宋"/>
          <w:b/>
          <w:color w:val="000000"/>
          <w:sz w:val="28"/>
          <w:szCs w:val="28"/>
        </w:rPr>
      </w:pPr>
      <w:r w:rsidRPr="00AB1922">
        <w:rPr>
          <w:rFonts w:ascii="仿宋" w:eastAsia="仿宋" w:hAnsi="仿宋" w:cs="Times New Roman" w:hint="eastAsia"/>
          <w:kern w:val="2"/>
          <w:sz w:val="28"/>
          <w:szCs w:val="28"/>
        </w:rPr>
        <w:t>第二十四条</w:t>
      </w:r>
      <w:r w:rsidRPr="00AB1922">
        <w:rPr>
          <w:rFonts w:ascii="仿宋" w:eastAsia="仿宋" w:hAnsi="仿宋" w:cs="Times New Roman"/>
          <w:kern w:val="2"/>
          <w:sz w:val="28"/>
          <w:szCs w:val="28"/>
        </w:rPr>
        <w:t xml:space="preserve">  </w:t>
      </w:r>
      <w:r w:rsidRPr="00AB1922">
        <w:rPr>
          <w:rFonts w:ascii="仿宋" w:eastAsia="仿宋" w:hAnsi="仿宋" w:cs="Times New Roman" w:hint="eastAsia"/>
          <w:kern w:val="2"/>
          <w:sz w:val="28"/>
          <w:szCs w:val="28"/>
        </w:rPr>
        <w:t>清算中心必须建立贴现业务相关分户账和到期催收台账，登记代保管有价证券登记簿，严格按照保管有价单证的要求办理银票会计核算和出入库手续，并妥善保管好银票证明等跟单资料。</w:t>
      </w:r>
    </w:p>
    <w:p w:rsidR="00EE1562" w:rsidRPr="00AB1922" w:rsidRDefault="00ED30FC" w:rsidP="00E764BC">
      <w:pPr>
        <w:widowControl w:val="0"/>
        <w:adjustRightInd/>
        <w:snapToGrid/>
        <w:spacing w:beforeLines="50" w:before="156" w:after="0" w:line="360" w:lineRule="auto"/>
        <w:jc w:val="center"/>
        <w:rPr>
          <w:rFonts w:ascii="仿宋" w:eastAsia="仿宋" w:hAnsi="仿宋" w:cs="Times New Roman"/>
          <w:b/>
          <w:kern w:val="2"/>
          <w:sz w:val="28"/>
          <w:szCs w:val="28"/>
        </w:rPr>
      </w:pPr>
      <w:r w:rsidRPr="00AB1922">
        <w:rPr>
          <w:rFonts w:ascii="仿宋" w:eastAsia="仿宋" w:hAnsi="仿宋" w:cs="Times New Roman" w:hint="eastAsia"/>
          <w:b/>
          <w:kern w:val="2"/>
          <w:sz w:val="28"/>
          <w:szCs w:val="28"/>
        </w:rPr>
        <w:t>第七章  附则</w:t>
      </w:r>
    </w:p>
    <w:p w:rsidR="00BB4098" w:rsidRPr="00BB4098" w:rsidRDefault="00BB4098"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w:t>
      </w:r>
      <w:r>
        <w:rPr>
          <w:rFonts w:ascii="仿宋" w:eastAsia="仿宋" w:hAnsi="仿宋" w:cs="Times New Roman" w:hint="eastAsia"/>
          <w:kern w:val="2"/>
          <w:sz w:val="28"/>
          <w:szCs w:val="28"/>
        </w:rPr>
        <w:t>二十五</w:t>
      </w:r>
      <w:r w:rsidRPr="00BB4098">
        <w:rPr>
          <w:rFonts w:ascii="仿宋" w:eastAsia="仿宋" w:hAnsi="仿宋" w:cs="Times New Roman" w:hint="eastAsia"/>
          <w:kern w:val="2"/>
          <w:sz w:val="28"/>
          <w:szCs w:val="28"/>
        </w:rPr>
        <w:t>条</w:t>
      </w:r>
      <w:r>
        <w:rPr>
          <w:rFonts w:ascii="仿宋" w:eastAsia="仿宋" w:hAnsi="仿宋" w:cs="Times New Roman" w:hint="eastAsia"/>
          <w:kern w:val="2"/>
          <w:sz w:val="28"/>
          <w:szCs w:val="28"/>
        </w:rPr>
        <w:t xml:space="preserve"> </w:t>
      </w:r>
      <w:r w:rsidRPr="00BB4098">
        <w:rPr>
          <w:rFonts w:ascii="仿宋" w:eastAsia="仿宋" w:hAnsi="仿宋" w:cs="Times New Roman" w:hint="eastAsia"/>
          <w:kern w:val="2"/>
          <w:sz w:val="28"/>
          <w:szCs w:val="28"/>
        </w:rPr>
        <w:t xml:space="preserve"> 本办法由</w:t>
      </w:r>
      <w:r w:rsidR="00156121" w:rsidRPr="00156121">
        <w:rPr>
          <w:rFonts w:ascii="仿宋" w:eastAsia="仿宋" w:hAnsi="仿宋" w:cs="Times New Roman" w:hint="eastAsia"/>
          <w:kern w:val="2"/>
          <w:sz w:val="28"/>
          <w:szCs w:val="28"/>
        </w:rPr>
        <w:t>××××</w:t>
      </w:r>
      <w:bookmarkStart w:id="1" w:name="_GoBack"/>
      <w:bookmarkEnd w:id="1"/>
      <w:r w:rsidRPr="00BB4098">
        <w:rPr>
          <w:rFonts w:ascii="仿宋" w:eastAsia="仿宋" w:hAnsi="仿宋" w:cs="Times New Roman" w:hint="eastAsia"/>
          <w:kern w:val="2"/>
          <w:sz w:val="28"/>
          <w:szCs w:val="28"/>
        </w:rPr>
        <w:t>银行股份有限公司金融市</w:t>
      </w:r>
      <w:r w:rsidR="00EC0BD7">
        <w:rPr>
          <w:rFonts w:ascii="仿宋" w:eastAsia="仿宋" w:hAnsi="仿宋" w:cs="Times New Roman" w:hint="eastAsia"/>
          <w:kern w:val="2"/>
          <w:sz w:val="28"/>
          <w:szCs w:val="28"/>
        </w:rPr>
        <w:t>场部负责</w:t>
      </w:r>
      <w:r w:rsidRPr="00BB4098">
        <w:rPr>
          <w:rFonts w:ascii="仿宋" w:eastAsia="仿宋" w:hAnsi="仿宋" w:cs="Times New Roman" w:hint="eastAsia"/>
          <w:kern w:val="2"/>
          <w:sz w:val="28"/>
          <w:szCs w:val="28"/>
        </w:rPr>
        <w:lastRenderedPageBreak/>
        <w:t>解释和</w:t>
      </w:r>
      <w:r w:rsidR="00EC0BD7">
        <w:rPr>
          <w:rFonts w:ascii="仿宋" w:eastAsia="仿宋" w:hAnsi="仿宋" w:cs="Times New Roman" w:hint="eastAsia"/>
          <w:kern w:val="2"/>
          <w:sz w:val="28"/>
          <w:szCs w:val="28"/>
        </w:rPr>
        <w:t>修订</w:t>
      </w:r>
      <w:r w:rsidRPr="00BB4098">
        <w:rPr>
          <w:rFonts w:ascii="仿宋" w:eastAsia="仿宋" w:hAnsi="仿宋" w:cs="Times New Roman" w:hint="eastAsia"/>
          <w:kern w:val="2"/>
          <w:sz w:val="28"/>
          <w:szCs w:val="28"/>
        </w:rPr>
        <w:t>。</w:t>
      </w:r>
    </w:p>
    <w:p w:rsidR="00EE1562" w:rsidRPr="00BB4098" w:rsidRDefault="00BB4098" w:rsidP="00BB4098">
      <w:pPr>
        <w:widowControl w:val="0"/>
        <w:adjustRightInd/>
        <w:snapToGrid/>
        <w:spacing w:after="0" w:line="360" w:lineRule="auto"/>
        <w:ind w:firstLineChars="200" w:firstLine="548"/>
        <w:jc w:val="both"/>
        <w:rPr>
          <w:rFonts w:ascii="仿宋" w:eastAsia="仿宋" w:hAnsi="仿宋" w:cs="Times New Roman"/>
          <w:kern w:val="2"/>
          <w:sz w:val="28"/>
          <w:szCs w:val="28"/>
        </w:rPr>
      </w:pPr>
      <w:r w:rsidRPr="00BB4098">
        <w:rPr>
          <w:rFonts w:ascii="仿宋" w:eastAsia="仿宋" w:hAnsi="仿宋" w:cs="Times New Roman" w:hint="eastAsia"/>
          <w:kern w:val="2"/>
          <w:sz w:val="28"/>
          <w:szCs w:val="28"/>
        </w:rPr>
        <w:t>第</w:t>
      </w:r>
      <w:r>
        <w:rPr>
          <w:rFonts w:ascii="仿宋" w:eastAsia="仿宋" w:hAnsi="仿宋" w:cs="Times New Roman" w:hint="eastAsia"/>
          <w:kern w:val="2"/>
          <w:sz w:val="28"/>
          <w:szCs w:val="28"/>
        </w:rPr>
        <w:t>二十六</w:t>
      </w:r>
      <w:r w:rsidRPr="00BB4098">
        <w:rPr>
          <w:rFonts w:ascii="仿宋" w:eastAsia="仿宋" w:hAnsi="仿宋" w:cs="Times New Roman" w:hint="eastAsia"/>
          <w:kern w:val="2"/>
          <w:sz w:val="28"/>
          <w:szCs w:val="28"/>
        </w:rPr>
        <w:t xml:space="preserve">条 </w:t>
      </w:r>
      <w:r>
        <w:rPr>
          <w:rFonts w:ascii="仿宋" w:eastAsia="仿宋" w:hAnsi="仿宋" w:cs="Times New Roman" w:hint="eastAsia"/>
          <w:kern w:val="2"/>
          <w:sz w:val="28"/>
          <w:szCs w:val="28"/>
        </w:rPr>
        <w:t xml:space="preserve"> </w:t>
      </w:r>
      <w:r w:rsidRPr="00BB4098">
        <w:rPr>
          <w:rFonts w:ascii="仿宋" w:eastAsia="仿宋" w:hAnsi="仿宋" w:cs="Times New Roman" w:hint="eastAsia"/>
          <w:kern w:val="2"/>
          <w:sz w:val="28"/>
          <w:szCs w:val="28"/>
        </w:rPr>
        <w:t>本办法自印发之日起施行。</w:t>
      </w:r>
    </w:p>
    <w:p w:rsidR="00EE1562" w:rsidRPr="00AB1922" w:rsidRDefault="00EE1562"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p>
    <w:p w:rsidR="00EE1562" w:rsidRPr="00AB1922" w:rsidRDefault="00EE1562" w:rsidP="00E764BC">
      <w:pPr>
        <w:widowControl w:val="0"/>
        <w:adjustRightInd/>
        <w:snapToGrid/>
        <w:spacing w:after="0" w:line="360" w:lineRule="auto"/>
        <w:ind w:firstLineChars="200" w:firstLine="548"/>
        <w:jc w:val="both"/>
        <w:rPr>
          <w:rFonts w:ascii="仿宋" w:eastAsia="仿宋" w:hAnsi="仿宋" w:cs="Times New Roman"/>
          <w:kern w:val="2"/>
          <w:sz w:val="28"/>
          <w:szCs w:val="28"/>
        </w:rPr>
      </w:pPr>
    </w:p>
    <w:p w:rsidR="00EE1562" w:rsidRPr="00AB1922" w:rsidRDefault="00EE1562" w:rsidP="00E764BC">
      <w:pPr>
        <w:widowControl w:val="0"/>
        <w:adjustRightInd/>
        <w:snapToGrid/>
        <w:spacing w:after="0" w:line="360" w:lineRule="auto"/>
        <w:jc w:val="both"/>
        <w:rPr>
          <w:rFonts w:ascii="仿宋" w:eastAsia="仿宋" w:hAnsi="仿宋" w:cs="Times New Roman"/>
          <w:kern w:val="2"/>
          <w:sz w:val="28"/>
          <w:szCs w:val="28"/>
        </w:rPr>
      </w:pPr>
    </w:p>
    <w:p w:rsidR="00EE1562" w:rsidRPr="00AB1922" w:rsidRDefault="00EE1562" w:rsidP="00E764BC">
      <w:pPr>
        <w:widowControl w:val="0"/>
        <w:adjustRightInd/>
        <w:snapToGrid/>
        <w:spacing w:after="0" w:line="360" w:lineRule="auto"/>
        <w:ind w:firstLineChars="200" w:firstLine="548"/>
        <w:jc w:val="center"/>
        <w:rPr>
          <w:rFonts w:ascii="仿宋" w:eastAsia="仿宋" w:hAnsi="仿宋" w:cs="Times New Roman"/>
          <w:kern w:val="2"/>
          <w:sz w:val="28"/>
          <w:szCs w:val="28"/>
        </w:rPr>
      </w:pPr>
    </w:p>
    <w:sectPr w:rsidR="00EE1562" w:rsidRPr="00AB1922" w:rsidSect="005A7D98">
      <w:footerReference w:type="even" r:id="rId7"/>
      <w:pgSz w:w="11906" w:h="16838"/>
      <w:pgMar w:top="1702" w:right="1588" w:bottom="1588" w:left="1588" w:header="851" w:footer="1134" w:gutter="0"/>
      <w:cols w:space="720"/>
      <w:docGrid w:type="linesAndChars" w:linePitch="312"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30C" w:rsidRDefault="00FA130C">
      <w:pPr>
        <w:spacing w:after="0"/>
      </w:pPr>
      <w:r>
        <w:separator/>
      </w:r>
    </w:p>
  </w:endnote>
  <w:endnote w:type="continuationSeparator" w:id="0">
    <w:p w:rsidR="00FA130C" w:rsidRDefault="00FA13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562" w:rsidRDefault="00ED30FC">
    <w:pPr>
      <w:pStyle w:val="ab"/>
      <w:framePr w:wrap="around" w:vAnchor="text" w:hAnchor="margin" w:xAlign="center" w:y="1"/>
      <w:rPr>
        <w:rStyle w:val="af"/>
      </w:rPr>
    </w:pPr>
    <w:r>
      <w:fldChar w:fldCharType="begin"/>
    </w:r>
    <w:r>
      <w:rPr>
        <w:rStyle w:val="af"/>
      </w:rPr>
      <w:instrText xml:space="preserve">PAGE  </w:instrText>
    </w:r>
    <w:r>
      <w:fldChar w:fldCharType="end"/>
    </w:r>
  </w:p>
  <w:p w:rsidR="00EE1562" w:rsidRDefault="00EE156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30C" w:rsidRDefault="00FA130C">
      <w:pPr>
        <w:spacing w:after="0"/>
      </w:pPr>
      <w:r>
        <w:separator/>
      </w:r>
    </w:p>
  </w:footnote>
  <w:footnote w:type="continuationSeparator" w:id="0">
    <w:p w:rsidR="00FA130C" w:rsidRDefault="00FA13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7C02"/>
    <w:rsid w:val="00035C86"/>
    <w:rsid w:val="0003702C"/>
    <w:rsid w:val="000427A1"/>
    <w:rsid w:val="0004364E"/>
    <w:rsid w:val="00051543"/>
    <w:rsid w:val="000811D2"/>
    <w:rsid w:val="00094AAF"/>
    <w:rsid w:val="000B67F1"/>
    <w:rsid w:val="00104744"/>
    <w:rsid w:val="00111D5D"/>
    <w:rsid w:val="001128A5"/>
    <w:rsid w:val="00145F74"/>
    <w:rsid w:val="001510D2"/>
    <w:rsid w:val="00154B4E"/>
    <w:rsid w:val="00156121"/>
    <w:rsid w:val="00162F77"/>
    <w:rsid w:val="00164E99"/>
    <w:rsid w:val="0017058E"/>
    <w:rsid w:val="0018050C"/>
    <w:rsid w:val="00190610"/>
    <w:rsid w:val="00195FB3"/>
    <w:rsid w:val="001A4E34"/>
    <w:rsid w:val="001A7B62"/>
    <w:rsid w:val="00200D4D"/>
    <w:rsid w:val="00206429"/>
    <w:rsid w:val="00210FC7"/>
    <w:rsid w:val="00214408"/>
    <w:rsid w:val="002169DF"/>
    <w:rsid w:val="002546C4"/>
    <w:rsid w:val="002940F9"/>
    <w:rsid w:val="002A55D5"/>
    <w:rsid w:val="002C15D6"/>
    <w:rsid w:val="002C3EC7"/>
    <w:rsid w:val="002F740D"/>
    <w:rsid w:val="003174DF"/>
    <w:rsid w:val="00322651"/>
    <w:rsid w:val="00323B43"/>
    <w:rsid w:val="00337527"/>
    <w:rsid w:val="00360838"/>
    <w:rsid w:val="003C3181"/>
    <w:rsid w:val="003C5D50"/>
    <w:rsid w:val="003D37D8"/>
    <w:rsid w:val="00426133"/>
    <w:rsid w:val="004358AB"/>
    <w:rsid w:val="0046628A"/>
    <w:rsid w:val="00466EBA"/>
    <w:rsid w:val="00476C1E"/>
    <w:rsid w:val="00482F33"/>
    <w:rsid w:val="0048757B"/>
    <w:rsid w:val="004C425E"/>
    <w:rsid w:val="004F1422"/>
    <w:rsid w:val="004F327D"/>
    <w:rsid w:val="005165CE"/>
    <w:rsid w:val="005169A9"/>
    <w:rsid w:val="00523255"/>
    <w:rsid w:val="005604AD"/>
    <w:rsid w:val="005A705B"/>
    <w:rsid w:val="005A7D98"/>
    <w:rsid w:val="005B45BF"/>
    <w:rsid w:val="00610E3E"/>
    <w:rsid w:val="00627BDA"/>
    <w:rsid w:val="00627D4D"/>
    <w:rsid w:val="00644558"/>
    <w:rsid w:val="00656E63"/>
    <w:rsid w:val="00657034"/>
    <w:rsid w:val="006A3649"/>
    <w:rsid w:val="006B2CD2"/>
    <w:rsid w:val="006C4A55"/>
    <w:rsid w:val="006D08D2"/>
    <w:rsid w:val="006D354F"/>
    <w:rsid w:val="006E68A9"/>
    <w:rsid w:val="006E7DE5"/>
    <w:rsid w:val="006F7DBB"/>
    <w:rsid w:val="007027C2"/>
    <w:rsid w:val="00730C02"/>
    <w:rsid w:val="00734533"/>
    <w:rsid w:val="00736E6A"/>
    <w:rsid w:val="00745FD9"/>
    <w:rsid w:val="00762E9D"/>
    <w:rsid w:val="00785437"/>
    <w:rsid w:val="007A03D4"/>
    <w:rsid w:val="007A0B31"/>
    <w:rsid w:val="007B5808"/>
    <w:rsid w:val="007C31AC"/>
    <w:rsid w:val="007E65D7"/>
    <w:rsid w:val="008031DA"/>
    <w:rsid w:val="00805346"/>
    <w:rsid w:val="00816815"/>
    <w:rsid w:val="00861A8C"/>
    <w:rsid w:val="00872439"/>
    <w:rsid w:val="008B7726"/>
    <w:rsid w:val="008D5171"/>
    <w:rsid w:val="008F128C"/>
    <w:rsid w:val="009208B3"/>
    <w:rsid w:val="00943353"/>
    <w:rsid w:val="00972EB4"/>
    <w:rsid w:val="00977BEE"/>
    <w:rsid w:val="00982076"/>
    <w:rsid w:val="009C4177"/>
    <w:rsid w:val="009E4264"/>
    <w:rsid w:val="009E5E08"/>
    <w:rsid w:val="00A0716B"/>
    <w:rsid w:val="00A13B8B"/>
    <w:rsid w:val="00A627B9"/>
    <w:rsid w:val="00A64553"/>
    <w:rsid w:val="00A9251B"/>
    <w:rsid w:val="00A93B8D"/>
    <w:rsid w:val="00A97D71"/>
    <w:rsid w:val="00AB1922"/>
    <w:rsid w:val="00AD55B6"/>
    <w:rsid w:val="00AD5D6C"/>
    <w:rsid w:val="00AD6B9C"/>
    <w:rsid w:val="00AE2906"/>
    <w:rsid w:val="00B4310E"/>
    <w:rsid w:val="00B837D1"/>
    <w:rsid w:val="00B903DF"/>
    <w:rsid w:val="00B97AD6"/>
    <w:rsid w:val="00BA23EF"/>
    <w:rsid w:val="00BA7B1F"/>
    <w:rsid w:val="00BB4098"/>
    <w:rsid w:val="00BB7B2A"/>
    <w:rsid w:val="00BC567E"/>
    <w:rsid w:val="00C2092B"/>
    <w:rsid w:val="00C612C8"/>
    <w:rsid w:val="00C62D62"/>
    <w:rsid w:val="00C7320F"/>
    <w:rsid w:val="00C8267F"/>
    <w:rsid w:val="00C8361E"/>
    <w:rsid w:val="00C91BFB"/>
    <w:rsid w:val="00C92B7F"/>
    <w:rsid w:val="00C9658B"/>
    <w:rsid w:val="00CD61B5"/>
    <w:rsid w:val="00CF31B8"/>
    <w:rsid w:val="00D173FA"/>
    <w:rsid w:val="00D31D50"/>
    <w:rsid w:val="00D5305D"/>
    <w:rsid w:val="00D62CAA"/>
    <w:rsid w:val="00D70B1A"/>
    <w:rsid w:val="00D90EC3"/>
    <w:rsid w:val="00E074E4"/>
    <w:rsid w:val="00E118FB"/>
    <w:rsid w:val="00E343AF"/>
    <w:rsid w:val="00E362A7"/>
    <w:rsid w:val="00E45E9D"/>
    <w:rsid w:val="00E65242"/>
    <w:rsid w:val="00E764BC"/>
    <w:rsid w:val="00E87EB2"/>
    <w:rsid w:val="00EC0BD7"/>
    <w:rsid w:val="00ED30FC"/>
    <w:rsid w:val="00ED37DF"/>
    <w:rsid w:val="00EE1562"/>
    <w:rsid w:val="00F0429E"/>
    <w:rsid w:val="00F56FF7"/>
    <w:rsid w:val="00F6040F"/>
    <w:rsid w:val="00F65B16"/>
    <w:rsid w:val="00F70356"/>
    <w:rsid w:val="00F93449"/>
    <w:rsid w:val="00FA130C"/>
    <w:rsid w:val="00FB7FC4"/>
    <w:rsid w:val="00FD78FA"/>
    <w:rsid w:val="0B16637E"/>
    <w:rsid w:val="0D536A36"/>
    <w:rsid w:val="0EAE79EF"/>
    <w:rsid w:val="21531CA4"/>
    <w:rsid w:val="3B345C2C"/>
    <w:rsid w:val="3BE24187"/>
    <w:rsid w:val="4427432F"/>
    <w:rsid w:val="44F46858"/>
    <w:rsid w:val="493877C7"/>
    <w:rsid w:val="4DC80569"/>
    <w:rsid w:val="5263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C7B65-AF64-49E4-B0D6-AA69F74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Document Map"/>
    <w:basedOn w:val="a"/>
    <w:link w:val="a8"/>
    <w:uiPriority w:val="99"/>
    <w:unhideWhenUsed/>
    <w:rPr>
      <w:rFonts w:ascii="宋体" w:eastAsia="宋体"/>
      <w:sz w:val="18"/>
      <w:szCs w:val="18"/>
    </w:rPr>
  </w:style>
  <w:style w:type="paragraph" w:styleId="a9">
    <w:name w:val="Balloon Text"/>
    <w:basedOn w:val="a"/>
    <w:link w:val="aa"/>
    <w:uiPriority w:val="99"/>
    <w:unhideWhenUsed/>
    <w:qFormat/>
    <w:pPr>
      <w:spacing w:after="0"/>
    </w:pPr>
    <w:rPr>
      <w:sz w:val="18"/>
      <w:szCs w:val="18"/>
    </w:rPr>
  </w:style>
  <w:style w:type="paragraph" w:styleId="ab">
    <w:name w:val="footer"/>
    <w:basedOn w:val="a"/>
    <w:link w:val="ac"/>
    <w:unhideWhenUsed/>
    <w:qFormat/>
    <w:pPr>
      <w:tabs>
        <w:tab w:val="center" w:pos="4153"/>
        <w:tab w:val="right" w:pos="8306"/>
      </w:tabs>
    </w:pPr>
    <w:rPr>
      <w:sz w:val="18"/>
      <w:szCs w:val="18"/>
    </w:rPr>
  </w:style>
  <w:style w:type="paragraph" w:styleId="ad">
    <w:name w:val="header"/>
    <w:basedOn w:val="a"/>
    <w:link w:val="ae"/>
    <w:unhideWhenUsed/>
    <w:qFormat/>
    <w:pPr>
      <w:pBdr>
        <w:bottom w:val="single" w:sz="6" w:space="1" w:color="auto"/>
      </w:pBdr>
      <w:tabs>
        <w:tab w:val="center" w:pos="4153"/>
        <w:tab w:val="right" w:pos="8306"/>
      </w:tabs>
      <w:jc w:val="center"/>
    </w:pPr>
    <w:rPr>
      <w:sz w:val="18"/>
      <w:szCs w:val="18"/>
    </w:rPr>
  </w:style>
  <w:style w:type="character" w:styleId="af">
    <w:name w:val="page number"/>
    <w:basedOn w:val="a0"/>
  </w:style>
  <w:style w:type="character" w:styleId="af0">
    <w:name w:val="annotation reference"/>
    <w:basedOn w:val="a0"/>
    <w:uiPriority w:val="99"/>
    <w:unhideWhenUsed/>
    <w:rPr>
      <w:sz w:val="21"/>
      <w:szCs w:val="21"/>
    </w:rPr>
  </w:style>
  <w:style w:type="character" w:customStyle="1" w:styleId="ae">
    <w:name w:val="页眉 字符"/>
    <w:basedOn w:val="a0"/>
    <w:link w:val="ad"/>
    <w:uiPriority w:val="99"/>
    <w:semiHidden/>
    <w:rPr>
      <w:rFonts w:ascii="Tahoma" w:hAnsi="Tahoma"/>
      <w:sz w:val="18"/>
      <w:szCs w:val="18"/>
    </w:rPr>
  </w:style>
  <w:style w:type="character" w:customStyle="1" w:styleId="ac">
    <w:name w:val="页脚 字符"/>
    <w:basedOn w:val="a0"/>
    <w:link w:val="ab"/>
    <w:uiPriority w:val="99"/>
    <w:semiHidden/>
    <w:rPr>
      <w:rFonts w:ascii="Tahoma" w:hAnsi="Tahoma"/>
      <w:sz w:val="18"/>
      <w:szCs w:val="18"/>
    </w:rPr>
  </w:style>
  <w:style w:type="character" w:customStyle="1" w:styleId="a8">
    <w:name w:val="文档结构图 字符"/>
    <w:basedOn w:val="a0"/>
    <w:link w:val="a7"/>
    <w:uiPriority w:val="99"/>
    <w:semiHidden/>
    <w:rPr>
      <w:rFonts w:ascii="宋体" w:eastAsia="宋体" w:hAnsi="Tahoma"/>
      <w:sz w:val="18"/>
      <w:szCs w:val="18"/>
    </w:rPr>
  </w:style>
  <w:style w:type="paragraph" w:customStyle="1" w:styleId="af1">
    <w:name w:val="二级标题"/>
    <w:basedOn w:val="2"/>
    <w:qFormat/>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rPr>
      <w:rFonts w:ascii="Tahoma" w:hAnsi="Tahoma"/>
    </w:rPr>
  </w:style>
  <w:style w:type="character" w:customStyle="1" w:styleId="a5">
    <w:name w:val="批注主题 字符"/>
    <w:basedOn w:val="a6"/>
    <w:link w:val="a3"/>
    <w:uiPriority w:val="99"/>
    <w:semiHidden/>
    <w:rPr>
      <w:rFonts w:ascii="Tahoma" w:hAnsi="Tahoma"/>
      <w:b/>
      <w:bCs/>
    </w:rPr>
  </w:style>
  <w:style w:type="character" w:customStyle="1" w:styleId="aa">
    <w:name w:val="批注框文本 字符"/>
    <w:basedOn w:val="a0"/>
    <w:link w:val="a9"/>
    <w:uiPriority w:val="99"/>
    <w:semiHidden/>
    <w:rPr>
      <w:rFonts w:ascii="Tahoma" w:hAnsi="Tahoma"/>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439</Words>
  <Characters>2505</Characters>
  <Application>Microsoft Office Word</Application>
  <DocSecurity>0</DocSecurity>
  <Lines>20</Lines>
  <Paragraphs>5</Paragraphs>
  <ScaleCrop>false</ScaleCrop>
  <Company>Microsoft</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盈</cp:lastModifiedBy>
  <cp:revision>143</cp:revision>
  <dcterms:created xsi:type="dcterms:W3CDTF">2008-09-11T17:20:00Z</dcterms:created>
  <dcterms:modified xsi:type="dcterms:W3CDTF">2020-01-08T12:46:00Z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