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pPr>
      <w:r>
        <w:rPr>
          <w:rFonts w:eastAsia="仿宋" w:cs="仿宋" w:ascii="仿宋" w:hAnsi="仿宋"/>
          <w:b/>
          <w:kern w:val="0"/>
          <w:sz w:val="28"/>
          <w:szCs w:val="28"/>
        </w:rPr>
        <w:t>××××</w:t>
      </w:r>
      <w:r>
        <w:rPr>
          <w:rFonts w:ascii="仿宋" w:hAnsi="仿宋" w:cs="仿宋" w:eastAsia="仿宋"/>
          <w:b/>
          <w:kern w:val="0"/>
          <w:sz w:val="28"/>
          <w:szCs w:val="28"/>
        </w:rPr>
        <w:t>银行股份有限公司</w:t>
      </w:r>
    </w:p>
    <w:p>
      <w:pPr>
        <w:pStyle w:val="Style20"/>
        <w:ind w:firstLine="539" w:right="0"/>
        <w:rPr>
          <w:rFonts w:ascii="仿宋" w:hAnsi="仿宋" w:eastAsia="仿宋" w:cs="宋体-PUA;Arial Unicode MS"/>
          <w:kern w:val="0"/>
        </w:rPr>
      </w:pPr>
      <w:r>
        <w:rPr>
          <w:rFonts w:ascii="仿宋" w:hAnsi="仿宋" w:cs="宋体-PUA;Arial Unicode MS" w:eastAsia="仿宋"/>
        </w:rPr>
        <w:t>银行间市场融资业务操作细则</w:t>
      </w:r>
    </w:p>
    <w:p>
      <w:pPr>
        <w:pStyle w:val="Normal"/>
        <w:spacing w:lineRule="auto" w:line="360" w:before="156" w:after="0"/>
        <w:ind w:firstLine="539" w:right="0"/>
        <w:jc w:val="center"/>
        <w:rPr>
          <w:rFonts w:ascii="仿宋" w:hAnsi="仿宋" w:eastAsia="仿宋" w:cs="黑体;SimHei"/>
          <w:b/>
          <w:sz w:val="28"/>
          <w:szCs w:val="28"/>
        </w:rPr>
      </w:pPr>
      <w:r>
        <w:rPr>
          <w:rFonts w:ascii="仿宋" w:hAnsi="仿宋" w:cs="黑体;SimHei" w:eastAsia="仿宋"/>
          <w:b/>
          <w:sz w:val="28"/>
          <w:szCs w:val="28"/>
        </w:rPr>
        <w:t>第一章 总则</w:t>
      </w:r>
    </w:p>
    <w:p>
      <w:pPr>
        <w:pStyle w:val="Normal"/>
        <w:spacing w:lineRule="auto" w:line="360"/>
        <w:ind w:firstLine="537" w:right="0"/>
        <w:rPr/>
      </w:pPr>
      <w:r>
        <w:rPr>
          <w:rFonts w:ascii="仿宋" w:hAnsi="仿宋" w:cs="仿宋" w:eastAsia="仿宋"/>
          <w:color w:val="000000"/>
          <w:sz w:val="28"/>
          <w:szCs w:val="28"/>
        </w:rPr>
        <w:t>为规范本行在银行间市场融资业务行为，防范资金交易风险和业务人员操作风险，根据《</w:t>
      </w:r>
      <w:r>
        <w:rPr>
          <w:rFonts w:ascii="仿宋" w:hAnsi="仿宋" w:cs="仿宋" w:eastAsia="仿宋"/>
          <w:sz w:val="28"/>
          <w:szCs w:val="28"/>
        </w:rPr>
        <w:t>同业拆借管理办法</w:t>
      </w:r>
      <w:r>
        <w:rPr>
          <w:rFonts w:ascii="仿宋" w:hAnsi="仿宋" w:cs="仿宋" w:eastAsia="仿宋"/>
          <w:color w:val="000000"/>
          <w:sz w:val="28"/>
          <w:szCs w:val="28"/>
        </w:rPr>
        <w:t>》、</w:t>
      </w:r>
      <w:r>
        <w:rPr>
          <w:rFonts w:ascii="仿宋" w:hAnsi="仿宋" w:cs="仿宋" w:eastAsia="仿宋"/>
          <w:sz w:val="28"/>
          <w:szCs w:val="28"/>
        </w:rPr>
        <w:t>《</w:t>
      </w:r>
      <w:r>
        <w:rPr>
          <w:rFonts w:eastAsia="仿宋" w:cs="仿宋" w:ascii="仿宋" w:hAnsi="仿宋"/>
          <w:sz w:val="28"/>
          <w:szCs w:val="28"/>
        </w:rPr>
        <w:t>××××</w:t>
      </w:r>
      <w:r>
        <w:rPr>
          <w:rFonts w:ascii="仿宋" w:hAnsi="仿宋" w:cs="仿宋" w:eastAsia="仿宋"/>
          <w:sz w:val="28"/>
          <w:szCs w:val="28"/>
        </w:rPr>
        <w:t>省农村信用社系统内资金调剂管理暂行办法》、</w:t>
      </w:r>
      <w:r>
        <w:rPr>
          <w:rFonts w:ascii="仿宋" w:hAnsi="仿宋" w:cs="仿宋" w:eastAsia="仿宋"/>
          <w:color w:val="000000"/>
          <w:sz w:val="28"/>
          <w:szCs w:val="28"/>
        </w:rPr>
        <w:t>《</w:t>
      </w:r>
      <w:r>
        <w:rPr>
          <w:rFonts w:eastAsia="仿宋" w:cs="仿宋" w:ascii="仿宋" w:hAnsi="仿宋"/>
          <w:color w:val="000000"/>
          <w:sz w:val="28"/>
          <w:szCs w:val="28"/>
        </w:rPr>
        <w:t>××××</w:t>
      </w:r>
      <w:r>
        <w:rPr>
          <w:rFonts w:ascii="仿宋" w:hAnsi="仿宋" w:cs="仿宋" w:eastAsia="仿宋"/>
          <w:color w:val="000000"/>
          <w:sz w:val="28"/>
          <w:szCs w:val="28"/>
        </w:rPr>
        <w:t>银行股份有限公司银行间市场融资业务管理办法》结合本行实际，制订本细则。</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第二章 业务操作规程</w:t>
      </w:r>
    </w:p>
    <w:p>
      <w:pPr>
        <w:pStyle w:val="Normal"/>
        <w:spacing w:lineRule="auto" w:line="360"/>
        <w:ind w:firstLine="539" w:right="0"/>
        <w:jc w:val="left"/>
        <w:rPr>
          <w:rFonts w:ascii="仿宋" w:hAnsi="仿宋" w:eastAsia="仿宋" w:cs="仿宋"/>
          <w:b/>
          <w:color w:val="000000"/>
          <w:sz w:val="28"/>
          <w:szCs w:val="28"/>
        </w:rPr>
      </w:pPr>
      <w:r>
        <w:rPr>
          <w:rFonts w:ascii="仿宋" w:hAnsi="仿宋" w:cs="仿宋" w:eastAsia="仿宋"/>
          <w:b/>
          <w:color w:val="000000"/>
          <w:sz w:val="28"/>
          <w:szCs w:val="28"/>
        </w:rPr>
        <w:t>一、同业拆借（拆入）流程说明</w:t>
      </w:r>
    </w:p>
    <w:p>
      <w:pPr>
        <w:pStyle w:val="BodyText"/>
        <w:overflowPunct w:val="false"/>
        <w:spacing w:lineRule="auto" w:line="360"/>
        <w:ind w:firstLine="537" w:right="0"/>
        <w:rPr>
          <w:rFonts w:ascii="仿宋" w:hAnsi="仿宋" w:eastAsia="仿宋" w:cs="仿宋"/>
          <w:color w:val="000000"/>
          <w:sz w:val="28"/>
          <w:szCs w:val="28"/>
        </w:rPr>
      </w:pPr>
      <w:r>
        <w:rPr>
          <w:rFonts w:eastAsia="仿宋" w:cs="仿宋" w:ascii="仿宋" w:hAnsi="仿宋"/>
          <w:color w:val="000000"/>
          <w:sz w:val="28"/>
          <w:szCs w:val="28"/>
        </w:rPr>
        <w:t>1</w:t>
      </w:r>
      <w:r>
        <w:rPr>
          <w:rFonts w:ascii="仿宋" w:hAnsi="仿宋" w:cs="仿宋" w:eastAsia="仿宋"/>
          <w:color w:val="000000"/>
          <w:sz w:val="28"/>
          <w:szCs w:val="28"/>
        </w:rPr>
        <w:t>、申请</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交易岗核实当日资金头寸以及应收应付款项确定当日融入资金总额和期限结构摆布，由金融市场部部门负责人和分管行长决定是否拆入。</w:t>
      </w:r>
    </w:p>
    <w:p>
      <w:pPr>
        <w:pStyle w:val="BodyText"/>
        <w:overflowPunct w:val="false"/>
        <w:spacing w:lineRule="auto" w:line="360"/>
        <w:ind w:firstLine="537" w:right="0"/>
        <w:rPr>
          <w:rFonts w:ascii="仿宋" w:hAnsi="仿宋" w:eastAsia="仿宋" w:cs="仿宋"/>
          <w:color w:val="000000"/>
          <w:sz w:val="28"/>
          <w:szCs w:val="28"/>
        </w:rPr>
      </w:pPr>
      <w:r>
        <w:rPr>
          <w:rFonts w:eastAsia="仿宋" w:cs="仿宋" w:ascii="仿宋" w:hAnsi="仿宋"/>
          <w:color w:val="000000"/>
          <w:sz w:val="28"/>
          <w:szCs w:val="28"/>
        </w:rPr>
        <w:t>2</w:t>
      </w:r>
      <w:r>
        <w:rPr>
          <w:rFonts w:ascii="仿宋" w:hAnsi="仿宋" w:cs="仿宋" w:eastAsia="仿宋"/>
          <w:color w:val="000000"/>
          <w:sz w:val="28"/>
          <w:szCs w:val="28"/>
        </w:rPr>
        <w:t>、审批</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根据询价内容填写《资金收、划款审批表》，经复核岗复核，风险经理审核，部门负责人审批，经部门负责人同意，审批表呈分管行长审批。</w:t>
      </w:r>
    </w:p>
    <w:p>
      <w:pPr>
        <w:pStyle w:val="BodyText"/>
        <w:overflowPunct w:val="false"/>
        <w:spacing w:lineRule="auto" w:line="360"/>
        <w:ind w:firstLine="537" w:right="0"/>
        <w:rPr>
          <w:rFonts w:ascii="仿宋" w:hAnsi="仿宋" w:eastAsia="仿宋" w:cs="仿宋"/>
          <w:color w:val="000000"/>
          <w:sz w:val="28"/>
          <w:szCs w:val="28"/>
        </w:rPr>
      </w:pPr>
      <w:r>
        <w:rPr>
          <w:rFonts w:eastAsia="仿宋" w:cs="仿宋" w:ascii="仿宋" w:hAnsi="仿宋"/>
          <w:color w:val="000000"/>
          <w:sz w:val="28"/>
          <w:szCs w:val="28"/>
        </w:rPr>
        <w:t>3</w:t>
      </w:r>
      <w:r>
        <w:rPr>
          <w:rFonts w:ascii="仿宋" w:hAnsi="仿宋" w:cs="仿宋" w:eastAsia="仿宋"/>
          <w:color w:val="000000"/>
          <w:sz w:val="28"/>
          <w:szCs w:val="28"/>
        </w:rPr>
        <w:t>、交易</w:t>
      </w:r>
    </w:p>
    <w:p>
      <w:pPr>
        <w:pStyle w:val="BodyText"/>
        <w:numPr>
          <w:ilvl w:val="0"/>
          <w:numId w:val="3"/>
        </w:numPr>
        <w:overflowPunct w:val="false"/>
        <w:spacing w:lineRule="auto" w:line="360"/>
        <w:ind w:firstLine="537" w:left="0" w:right="0"/>
        <w:rPr>
          <w:rFonts w:ascii="仿宋" w:hAnsi="仿宋" w:eastAsia="仿宋" w:cs="仿宋"/>
          <w:color w:val="000000"/>
          <w:sz w:val="28"/>
          <w:szCs w:val="28"/>
        </w:rPr>
      </w:pPr>
      <w:r>
        <w:rPr>
          <w:rFonts w:ascii="仿宋" w:hAnsi="仿宋" w:cs="仿宋" w:eastAsia="仿宋"/>
          <w:color w:val="000000"/>
          <w:sz w:val="28"/>
          <w:szCs w:val="28"/>
        </w:rPr>
        <w:t>交易员通过网络积极在市场上寻找对手方，慎重选择交易对象，通过报价，询价，谈判直至达成交易意向。</w:t>
      </w:r>
    </w:p>
    <w:p>
      <w:pPr>
        <w:pStyle w:val="BodyText"/>
        <w:numPr>
          <w:ilvl w:val="0"/>
          <w:numId w:val="3"/>
        </w:numPr>
        <w:overflowPunct w:val="false"/>
        <w:spacing w:lineRule="auto" w:line="360"/>
        <w:ind w:firstLine="537" w:left="0" w:right="0"/>
        <w:rPr>
          <w:rFonts w:ascii="仿宋" w:hAnsi="仿宋" w:eastAsia="仿宋" w:cs="仿宋"/>
          <w:color w:val="000000"/>
          <w:sz w:val="28"/>
          <w:szCs w:val="28"/>
        </w:rPr>
      </w:pPr>
      <w:r>
        <w:rPr>
          <w:rFonts w:ascii="仿宋" w:hAnsi="仿宋" w:cs="仿宋" w:eastAsia="仿宋"/>
          <w:color w:val="000000"/>
          <w:sz w:val="28"/>
          <w:szCs w:val="28"/>
        </w:rPr>
        <w:t>拆借利率参照当日同期限</w:t>
      </w:r>
      <w:r>
        <w:rPr>
          <w:rFonts w:eastAsia="仿宋" w:cs="仿宋" w:ascii="仿宋" w:hAnsi="仿宋"/>
          <w:color w:val="000000"/>
          <w:sz w:val="28"/>
          <w:szCs w:val="28"/>
        </w:rPr>
        <w:t>SHIBOR</w:t>
      </w:r>
      <w:r>
        <w:rPr>
          <w:rFonts w:ascii="仿宋" w:hAnsi="仿宋" w:cs="仿宋" w:eastAsia="仿宋"/>
          <w:color w:val="000000"/>
          <w:sz w:val="28"/>
          <w:szCs w:val="28"/>
        </w:rPr>
        <w:t>利率结合本币前台系统实时成交价格以及本行的实际情况确定。</w:t>
      </w:r>
    </w:p>
    <w:p>
      <w:pPr>
        <w:pStyle w:val="BodyText"/>
        <w:numPr>
          <w:ilvl w:val="0"/>
          <w:numId w:val="3"/>
        </w:numPr>
        <w:overflowPunct w:val="false"/>
        <w:spacing w:lineRule="auto" w:line="360"/>
        <w:ind w:firstLine="537" w:left="0" w:right="0"/>
        <w:rPr>
          <w:rFonts w:ascii="仿宋" w:hAnsi="仿宋" w:eastAsia="仿宋" w:cs="仿宋"/>
          <w:color w:val="000000"/>
          <w:sz w:val="28"/>
          <w:szCs w:val="28"/>
        </w:rPr>
      </w:pPr>
      <w:r>
        <w:rPr>
          <w:rFonts w:ascii="仿宋" w:hAnsi="仿宋" w:cs="仿宋" w:eastAsia="仿宋"/>
          <w:color w:val="000000"/>
          <w:sz w:val="28"/>
          <w:szCs w:val="28"/>
        </w:rPr>
        <w:t>业务报单经审批同意后，</w:t>
      </w:r>
      <w:bookmarkStart w:id="0" w:name="OLE_LINK2"/>
      <w:r>
        <w:rPr>
          <w:rFonts w:ascii="仿宋" w:hAnsi="仿宋" w:cs="仿宋" w:eastAsia="仿宋"/>
          <w:color w:val="000000"/>
          <w:sz w:val="28"/>
          <w:szCs w:val="28"/>
        </w:rPr>
        <w:t>线上交易的，交易员与对手方通过前台本币交易系统进行交易</w:t>
      </w:r>
      <w:bookmarkEnd w:id="0"/>
      <w:r>
        <w:rPr>
          <w:rFonts w:ascii="仿宋" w:hAnsi="仿宋" w:cs="仿宋" w:eastAsia="仿宋"/>
          <w:color w:val="000000"/>
          <w:sz w:val="28"/>
          <w:szCs w:val="28"/>
        </w:rPr>
        <w:t>，并打印成交单；线下交易的，与对手方签订交易合同或协议。</w:t>
      </w:r>
    </w:p>
    <w:p>
      <w:pPr>
        <w:pStyle w:val="BodyText"/>
        <w:numPr>
          <w:ilvl w:val="0"/>
          <w:numId w:val="3"/>
        </w:numPr>
        <w:overflowPunct w:val="false"/>
        <w:spacing w:lineRule="auto" w:line="360"/>
        <w:ind w:firstLine="537" w:left="0" w:right="0"/>
        <w:rPr>
          <w:rFonts w:ascii="仿宋" w:hAnsi="仿宋" w:eastAsia="仿宋" w:cs="仿宋"/>
          <w:color w:val="000000"/>
          <w:sz w:val="28"/>
          <w:szCs w:val="28"/>
        </w:rPr>
      </w:pPr>
      <w:r>
        <w:rPr>
          <w:rFonts w:ascii="仿宋" w:hAnsi="仿宋" w:cs="仿宋" w:eastAsia="仿宋"/>
          <w:color w:val="000000"/>
          <w:sz w:val="28"/>
          <w:szCs w:val="28"/>
        </w:rPr>
        <w:t>交易合同或协议必须为书面形式，包括业务系统生成的资金成交单、电报、传真、信件等，并明确交易日期、交易方向、债券种类、债券数量，交易价格或利率、账户结算方式、交割金额、交割时间、回购期限等要素。</w:t>
      </w:r>
    </w:p>
    <w:p>
      <w:pPr>
        <w:pStyle w:val="BodyText"/>
        <w:numPr>
          <w:ilvl w:val="0"/>
          <w:numId w:val="3"/>
        </w:numPr>
        <w:overflowPunct w:val="false"/>
        <w:spacing w:lineRule="auto" w:line="360"/>
        <w:ind w:firstLine="537" w:left="0" w:right="0"/>
        <w:rPr>
          <w:rFonts w:ascii="仿宋" w:hAnsi="仿宋" w:eastAsia="仿宋" w:cs="仿宋"/>
          <w:color w:val="000000"/>
          <w:sz w:val="28"/>
          <w:szCs w:val="28"/>
        </w:rPr>
      </w:pPr>
      <w:r>
        <w:rPr>
          <w:rFonts w:ascii="仿宋" w:hAnsi="仿宋" w:cs="仿宋" w:eastAsia="仿宋"/>
          <w:color w:val="000000"/>
          <w:sz w:val="28"/>
          <w:szCs w:val="28"/>
        </w:rPr>
        <w:t>债券的托管和结算通过中央国债登记结算公司的债券登记系统进行，前台交易成交后，交易数据通过前台系统自动传入后台系统，复核岗确认交易无误后，进行第三方指令确认，并及时关注资金债券交割情况。</w:t>
      </w:r>
    </w:p>
    <w:p>
      <w:pPr>
        <w:pStyle w:val="BodyText"/>
        <w:overflowPunct w:val="false"/>
        <w:spacing w:lineRule="auto" w:line="360"/>
        <w:ind w:firstLine="537" w:right="0"/>
        <w:rPr>
          <w:rFonts w:ascii="仿宋" w:hAnsi="仿宋" w:eastAsia="仿宋" w:cs="仿宋"/>
          <w:color w:val="000000"/>
          <w:sz w:val="28"/>
          <w:szCs w:val="28"/>
        </w:rPr>
      </w:pPr>
      <w:r>
        <w:rPr>
          <w:rFonts w:eastAsia="仿宋" w:cs="仿宋" w:ascii="仿宋" w:hAnsi="仿宋"/>
          <w:color w:val="000000"/>
          <w:sz w:val="28"/>
          <w:szCs w:val="28"/>
        </w:rPr>
        <w:t>4</w:t>
      </w:r>
      <w:r>
        <w:rPr>
          <w:rFonts w:ascii="仿宋" w:hAnsi="仿宋" w:cs="仿宋" w:eastAsia="仿宋"/>
          <w:color w:val="000000"/>
          <w:sz w:val="28"/>
          <w:szCs w:val="28"/>
        </w:rPr>
        <w:t>、账务处理</w:t>
      </w:r>
    </w:p>
    <w:p>
      <w:pPr>
        <w:pStyle w:val="BodyText"/>
        <w:overflowPunct w:val="false"/>
        <w:spacing w:lineRule="auto" w:line="360"/>
        <w:ind w:firstLine="537" w:right="0"/>
        <w:rPr/>
      </w:pPr>
      <w:r>
        <w:rPr>
          <w:rFonts w:ascii="仿宋" w:hAnsi="仿宋" w:cs="仿宋" w:eastAsia="仿宋"/>
          <w:color w:val="000000"/>
          <w:sz w:val="28"/>
          <w:szCs w:val="28"/>
        </w:rPr>
        <w:t>（</w:t>
      </w:r>
      <w:r>
        <w:rPr>
          <w:rFonts w:eastAsia="仿宋" w:cs="仿宋" w:ascii="仿宋" w:hAnsi="仿宋"/>
          <w:color w:val="000000"/>
          <w:sz w:val="28"/>
          <w:szCs w:val="28"/>
        </w:rPr>
        <w:t>1</w:t>
      </w:r>
      <w:r>
        <w:rPr>
          <w:rFonts w:ascii="仿宋" w:hAnsi="仿宋" w:cs="仿宋" w:eastAsia="仿宋"/>
          <w:color w:val="000000"/>
          <w:sz w:val="28"/>
          <w:szCs w:val="28"/>
        </w:rPr>
        <w:t>）拆借资金业务发生当日，资金交易岗填制</w:t>
      </w:r>
      <w:r>
        <w:rPr>
          <w:rFonts w:ascii="仿宋" w:hAnsi="仿宋" w:cs="仿宋" w:eastAsia="仿宋"/>
          <w:sz w:val="28"/>
          <w:szCs w:val="28"/>
        </w:rPr>
        <w:t>《资金收、划款通知书》，经部门负责人审批后，</w:t>
      </w:r>
      <w:r>
        <w:rPr>
          <w:rFonts w:ascii="仿宋" w:hAnsi="仿宋" w:cs="仿宋" w:eastAsia="仿宋"/>
          <w:color w:val="000000"/>
          <w:sz w:val="28"/>
          <w:szCs w:val="28"/>
        </w:rPr>
        <w:t>送清算中心，经清算中心负责人审核后，办理款项的汇划。</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w:t>
      </w:r>
      <w:r>
        <w:rPr>
          <w:rFonts w:eastAsia="仿宋" w:cs="仿宋" w:ascii="仿宋" w:hAnsi="仿宋"/>
          <w:color w:val="000000"/>
          <w:sz w:val="28"/>
          <w:szCs w:val="28"/>
        </w:rPr>
        <w:t>2</w:t>
      </w:r>
      <w:r>
        <w:rPr>
          <w:rFonts w:ascii="仿宋" w:hAnsi="仿宋" w:cs="仿宋" w:eastAsia="仿宋"/>
          <w:color w:val="000000"/>
          <w:sz w:val="28"/>
          <w:szCs w:val="28"/>
        </w:rPr>
        <w:t>）交易岗要在资金清算日或债券到期日关注资金交易合同或协议的履行情况，若拆入资金至</w:t>
      </w:r>
      <w:r>
        <w:rPr>
          <w:rFonts w:eastAsia="仿宋" w:cs="仿宋" w:ascii="仿宋" w:hAnsi="仿宋"/>
          <w:color w:val="000000"/>
          <w:sz w:val="28"/>
          <w:szCs w:val="28"/>
        </w:rPr>
        <w:t>16</w:t>
      </w:r>
      <w:r>
        <w:rPr>
          <w:rFonts w:ascii="仿宋" w:hAnsi="仿宋" w:cs="仿宋" w:eastAsia="仿宋"/>
          <w:color w:val="000000"/>
          <w:sz w:val="28"/>
          <w:szCs w:val="28"/>
        </w:rPr>
        <w:t>：</w:t>
      </w:r>
      <w:r>
        <w:rPr>
          <w:rFonts w:eastAsia="仿宋" w:cs="仿宋" w:ascii="仿宋" w:hAnsi="仿宋"/>
          <w:color w:val="000000"/>
          <w:sz w:val="28"/>
          <w:szCs w:val="28"/>
        </w:rPr>
        <w:t>30</w:t>
      </w:r>
      <w:r>
        <w:rPr>
          <w:rFonts w:ascii="仿宋" w:hAnsi="仿宋" w:cs="仿宋" w:eastAsia="仿宋"/>
          <w:color w:val="000000"/>
          <w:sz w:val="28"/>
          <w:szCs w:val="28"/>
        </w:rPr>
        <w:t>仍未到账，资金交易岗应催促对手方划付拆借资金，直至资金到账。</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拆借资金到期前一个工作日，资金交易岗应按照大额资金划付要求及时向资金营运中心负责人报告资金到期情况。</w:t>
      </w:r>
    </w:p>
    <w:p>
      <w:pPr>
        <w:pStyle w:val="BodyText"/>
        <w:overflowPunct w:val="false"/>
        <w:spacing w:lineRule="auto" w:line="360"/>
        <w:ind w:firstLine="537" w:right="0"/>
        <w:rPr>
          <w:rFonts w:ascii="仿宋" w:hAnsi="仿宋" w:eastAsia="仿宋" w:cs="仿宋"/>
          <w:color w:val="000000"/>
          <w:sz w:val="28"/>
          <w:szCs w:val="28"/>
        </w:rPr>
      </w:pPr>
      <w:r>
        <w:rPr>
          <w:rFonts w:eastAsia="仿宋" w:cs="仿宋" w:ascii="仿宋" w:hAnsi="仿宋"/>
          <w:color w:val="000000"/>
          <w:sz w:val="28"/>
          <w:szCs w:val="28"/>
        </w:rPr>
        <w:t>5</w:t>
      </w:r>
      <w:r>
        <w:rPr>
          <w:rFonts w:ascii="仿宋" w:hAnsi="仿宋" w:cs="仿宋" w:eastAsia="仿宋"/>
          <w:color w:val="000000"/>
          <w:sz w:val="28"/>
          <w:szCs w:val="28"/>
        </w:rPr>
        <w:t>、资料归档</w:t>
      </w:r>
    </w:p>
    <w:p>
      <w:pPr>
        <w:pStyle w:val="Normal"/>
        <w:spacing w:lineRule="auto" w:line="360"/>
        <w:ind w:firstLine="537" w:right="0"/>
        <w:jc w:val="left"/>
        <w:rPr>
          <w:rFonts w:ascii="仿宋" w:hAnsi="仿宋" w:eastAsia="仿宋" w:cs="仿宋"/>
          <w:color w:val="000000"/>
          <w:sz w:val="28"/>
          <w:szCs w:val="28"/>
        </w:rPr>
      </w:pPr>
      <w:r>
        <w:rPr>
          <w:rFonts w:ascii="仿宋" w:hAnsi="仿宋" w:cs="仿宋" w:eastAsia="仿宋"/>
          <w:color w:val="000000"/>
          <w:sz w:val="28"/>
          <w:szCs w:val="28"/>
        </w:rPr>
        <w:t>交易岗逐笔登记相应台账，负责交易成交单、合同和《资金收、划款审批表》等资料的归档保存。</w:t>
      </w:r>
    </w:p>
    <w:p>
      <w:pPr>
        <w:pStyle w:val="Normal"/>
        <w:spacing w:lineRule="auto" w:line="360"/>
        <w:ind w:firstLine="539" w:right="0"/>
        <w:jc w:val="left"/>
        <w:rPr>
          <w:rFonts w:ascii="仿宋" w:hAnsi="仿宋" w:eastAsia="仿宋" w:cs="仿宋"/>
          <w:b/>
          <w:color w:val="000000"/>
          <w:sz w:val="28"/>
          <w:szCs w:val="28"/>
        </w:rPr>
      </w:pPr>
      <w:r>
        <w:rPr>
          <w:rFonts w:ascii="仿宋" w:hAnsi="仿宋" w:cs="仿宋" w:eastAsia="仿宋"/>
          <w:b/>
          <w:color w:val="000000"/>
          <w:sz w:val="28"/>
          <w:szCs w:val="28"/>
        </w:rPr>
        <w:t>二、同业拆借（拆出）流程说明</w:t>
      </w:r>
    </w:p>
    <w:p>
      <w:pPr>
        <w:pStyle w:val="Normal"/>
        <w:spacing w:lineRule="auto" w:line="360"/>
        <w:ind w:firstLine="537" w:right="0"/>
        <w:jc w:val="left"/>
        <w:rPr>
          <w:rFonts w:ascii="仿宋" w:hAnsi="仿宋" w:eastAsia="仿宋" w:cs="仿宋"/>
          <w:color w:val="000000"/>
          <w:sz w:val="28"/>
          <w:szCs w:val="28"/>
        </w:rPr>
      </w:pPr>
      <w:r>
        <w:rPr>
          <w:rFonts w:ascii="仿宋" w:hAnsi="仿宋" w:cs="仿宋" w:eastAsia="仿宋"/>
          <w:color w:val="000000"/>
          <w:sz w:val="28"/>
          <w:szCs w:val="28"/>
        </w:rPr>
        <w:t xml:space="preserve">    </w:t>
      </w:r>
      <w:r>
        <w:rPr>
          <w:rFonts w:ascii="仿宋" w:hAnsi="仿宋" w:cs="仿宋" w:eastAsia="仿宋"/>
          <w:color w:val="000000"/>
          <w:sz w:val="28"/>
          <w:szCs w:val="28"/>
        </w:rPr>
        <w:t>参照同业拆借（拆入）流程办理</w:t>
      </w:r>
    </w:p>
    <w:p>
      <w:pPr>
        <w:pStyle w:val="Normal"/>
        <w:numPr>
          <w:ilvl w:val="0"/>
          <w:numId w:val="2"/>
        </w:numPr>
        <w:spacing w:lineRule="auto" w:line="360"/>
        <w:ind w:firstLine="539" w:left="0" w:right="0"/>
        <w:jc w:val="left"/>
        <w:rPr>
          <w:rFonts w:ascii="仿宋" w:hAnsi="仿宋" w:eastAsia="仿宋" w:cs="仿宋"/>
          <w:b/>
          <w:color w:val="000000"/>
          <w:sz w:val="28"/>
          <w:szCs w:val="28"/>
        </w:rPr>
      </w:pPr>
      <w:r>
        <w:rPr>
          <w:rFonts w:ascii="仿宋" w:hAnsi="仿宋" w:cs="仿宋" w:eastAsia="仿宋"/>
          <w:b/>
          <w:color w:val="000000"/>
          <w:sz w:val="28"/>
          <w:szCs w:val="28"/>
        </w:rPr>
        <w:t>资金调剂流程说明</w:t>
      </w:r>
    </w:p>
    <w:p>
      <w:pPr>
        <w:pStyle w:val="Normal"/>
        <w:spacing w:lineRule="auto" w:line="360"/>
        <w:ind w:firstLine="539" w:right="0"/>
        <w:jc w:val="left"/>
        <w:rPr>
          <w:rFonts w:ascii="仿宋" w:hAnsi="仿宋" w:eastAsia="仿宋" w:cs="仿宋"/>
          <w:b/>
          <w:color w:val="000000"/>
          <w:sz w:val="28"/>
          <w:szCs w:val="28"/>
        </w:rPr>
      </w:pPr>
      <w:r>
        <w:rPr>
          <w:rFonts w:ascii="仿宋" w:hAnsi="仿宋" w:cs="仿宋" w:eastAsia="仿宋"/>
          <w:b/>
          <w:color w:val="000000"/>
          <w:sz w:val="28"/>
          <w:szCs w:val="28"/>
        </w:rPr>
        <w:t xml:space="preserve"> </w:t>
      </w:r>
      <w:r>
        <w:rPr>
          <w:rFonts w:eastAsia="仿宋" w:cs="仿宋" w:ascii="仿宋" w:hAnsi="仿宋"/>
          <w:bCs/>
          <w:color w:val="000000"/>
          <w:sz w:val="28"/>
          <w:szCs w:val="28"/>
        </w:rPr>
        <w:t>1</w:t>
      </w:r>
      <w:r>
        <w:rPr>
          <w:rFonts w:ascii="仿宋" w:hAnsi="仿宋" w:cs="仿宋" w:eastAsia="仿宋"/>
          <w:bCs/>
          <w:color w:val="000000"/>
          <w:sz w:val="28"/>
          <w:szCs w:val="28"/>
        </w:rPr>
        <w:t>、申请</w:t>
      </w:r>
    </w:p>
    <w:p>
      <w:pPr>
        <w:pStyle w:val="Normal"/>
        <w:spacing w:lineRule="auto" w:line="360"/>
        <w:ind w:firstLine="539" w:right="0"/>
        <w:rPr/>
      </w:pPr>
      <w:r>
        <w:rPr>
          <w:rFonts w:ascii="仿宋" w:hAnsi="仿宋" w:cs="仿宋" w:eastAsia="仿宋"/>
          <w:b/>
          <w:color w:val="000000"/>
          <w:sz w:val="28"/>
          <w:szCs w:val="28"/>
        </w:rPr>
        <w:t xml:space="preserve"> </w:t>
      </w:r>
      <w:r>
        <w:rPr>
          <w:rFonts w:ascii="仿宋" w:hAnsi="仿宋" w:cs="仿宋" w:eastAsia="仿宋"/>
          <w:color w:val="000000"/>
          <w:sz w:val="28"/>
          <w:szCs w:val="28"/>
        </w:rPr>
        <w:t>交易岗核实当日资金头寸以及应收应付款项确定当日调剂资金总额和期限结构摆布，由金融市场部部门负责人和分管行长决定是否调剂。</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 xml:space="preserve"> </w:t>
      </w:r>
      <w:r>
        <w:rPr>
          <w:rFonts w:eastAsia="仿宋" w:cs="仿宋" w:ascii="仿宋" w:hAnsi="仿宋"/>
          <w:color w:val="000000"/>
          <w:sz w:val="28"/>
          <w:szCs w:val="28"/>
        </w:rPr>
        <w:t>2</w:t>
      </w:r>
      <w:r>
        <w:rPr>
          <w:rFonts w:ascii="仿宋" w:hAnsi="仿宋" w:cs="仿宋" w:eastAsia="仿宋"/>
          <w:color w:val="000000"/>
          <w:sz w:val="28"/>
          <w:szCs w:val="28"/>
        </w:rPr>
        <w:t>、审批</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根据询价内容填写《系统内资金调剂审批表》，经复核岗复核，风险经理审核，部门负责人审批，经部门负责人同意，审批表呈分管行长审批。</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 xml:space="preserve"> </w:t>
      </w:r>
      <w:r>
        <w:rPr>
          <w:rFonts w:eastAsia="仿宋" w:cs="仿宋" w:ascii="仿宋" w:hAnsi="仿宋"/>
          <w:color w:val="000000"/>
          <w:sz w:val="28"/>
          <w:szCs w:val="28"/>
        </w:rPr>
        <w:t>3</w:t>
      </w:r>
      <w:r>
        <w:rPr>
          <w:rFonts w:ascii="仿宋" w:hAnsi="仿宋" w:cs="仿宋" w:eastAsia="仿宋"/>
          <w:color w:val="000000"/>
          <w:sz w:val="28"/>
          <w:szCs w:val="28"/>
        </w:rPr>
        <w:t>、交易</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w:t>
      </w:r>
      <w:r>
        <w:rPr>
          <w:rFonts w:eastAsia="仿宋" w:cs="仿宋" w:ascii="仿宋" w:hAnsi="仿宋"/>
          <w:color w:val="000000"/>
          <w:sz w:val="28"/>
          <w:szCs w:val="28"/>
        </w:rPr>
        <w:t>1</w:t>
      </w:r>
      <w:r>
        <w:rPr>
          <w:rFonts w:ascii="仿宋" w:hAnsi="仿宋" w:cs="仿宋" w:eastAsia="仿宋"/>
          <w:color w:val="000000"/>
          <w:sz w:val="28"/>
          <w:szCs w:val="28"/>
        </w:rPr>
        <w:t>）交易员通过网络报价、询价、谈判达成交易意向。</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w:t>
      </w:r>
      <w:r>
        <w:rPr>
          <w:rFonts w:eastAsia="仿宋" w:cs="仿宋" w:ascii="仿宋" w:hAnsi="仿宋"/>
          <w:color w:val="000000"/>
          <w:sz w:val="28"/>
          <w:szCs w:val="28"/>
        </w:rPr>
        <w:t>2</w:t>
      </w:r>
      <w:r>
        <w:rPr>
          <w:rFonts w:ascii="仿宋" w:hAnsi="仿宋" w:cs="仿宋" w:eastAsia="仿宋"/>
          <w:color w:val="000000"/>
          <w:sz w:val="28"/>
          <w:szCs w:val="28"/>
        </w:rPr>
        <w:t>）拆借利率参照当日同期限</w:t>
      </w:r>
      <w:r>
        <w:rPr>
          <w:rFonts w:eastAsia="仿宋" w:cs="仿宋" w:ascii="仿宋" w:hAnsi="仿宋"/>
          <w:color w:val="000000"/>
          <w:sz w:val="28"/>
          <w:szCs w:val="28"/>
        </w:rPr>
        <w:t>SHIBOR</w:t>
      </w:r>
      <w:r>
        <w:rPr>
          <w:rFonts w:ascii="仿宋" w:hAnsi="仿宋" w:cs="仿宋" w:eastAsia="仿宋"/>
          <w:color w:val="000000"/>
          <w:sz w:val="28"/>
          <w:szCs w:val="28"/>
        </w:rPr>
        <w:t>利率结合市场及本行的实际情况确定。</w:t>
      </w:r>
    </w:p>
    <w:p>
      <w:pPr>
        <w:pStyle w:val="BodyText"/>
        <w:overflowPunct w:val="false"/>
        <w:spacing w:lineRule="auto" w:line="360"/>
        <w:ind w:firstLine="537" w:right="0"/>
        <w:rPr/>
      </w:pPr>
      <w:r>
        <w:rPr>
          <w:rFonts w:ascii="仿宋" w:hAnsi="仿宋" w:cs="仿宋" w:eastAsia="仿宋"/>
          <w:color w:val="000000"/>
          <w:sz w:val="28"/>
          <w:szCs w:val="28"/>
        </w:rPr>
        <w:t>（</w:t>
      </w:r>
      <w:r>
        <w:rPr>
          <w:rFonts w:eastAsia="仿宋" w:cs="仿宋" w:ascii="仿宋" w:hAnsi="仿宋"/>
          <w:color w:val="000000"/>
          <w:sz w:val="28"/>
          <w:szCs w:val="28"/>
        </w:rPr>
        <w:t>3</w:t>
      </w:r>
      <w:r>
        <w:rPr>
          <w:rFonts w:ascii="仿宋" w:hAnsi="仿宋" w:cs="仿宋" w:eastAsia="仿宋"/>
          <w:color w:val="000000"/>
          <w:sz w:val="28"/>
          <w:szCs w:val="28"/>
        </w:rPr>
        <w:t>）业务报单经审批同意后通过</w:t>
      </w:r>
      <w:r>
        <w:rPr>
          <w:rFonts w:eastAsia="仿宋" w:cs="仿宋" w:ascii="仿宋" w:hAnsi="仿宋"/>
          <w:color w:val="000000"/>
          <w:sz w:val="28"/>
          <w:szCs w:val="28"/>
        </w:rPr>
        <w:t>××××</w:t>
      </w:r>
      <w:r>
        <w:rPr>
          <w:rFonts w:ascii="仿宋" w:hAnsi="仿宋" w:cs="仿宋" w:eastAsia="仿宋"/>
          <w:color w:val="000000"/>
          <w:sz w:val="28"/>
          <w:szCs w:val="28"/>
        </w:rPr>
        <w:t>省农村信用合作社联合社资金交易系统正式进行交易，交易成功后，打印成交单。</w:t>
      </w:r>
    </w:p>
    <w:p>
      <w:pPr>
        <w:pStyle w:val="BodyText"/>
        <w:overflowPunct w:val="false"/>
        <w:spacing w:lineRule="auto" w:line="360"/>
        <w:ind w:firstLine="537" w:right="0"/>
        <w:rPr/>
      </w:pPr>
      <w:r>
        <w:rPr>
          <w:rFonts w:ascii="仿宋" w:hAnsi="仿宋" w:cs="仿宋" w:eastAsia="仿宋"/>
          <w:color w:val="000000"/>
          <w:sz w:val="28"/>
          <w:szCs w:val="28"/>
        </w:rPr>
        <w:t>（</w:t>
      </w:r>
      <w:r>
        <w:rPr>
          <w:rFonts w:eastAsia="仿宋" w:cs="仿宋" w:ascii="仿宋" w:hAnsi="仿宋"/>
          <w:color w:val="000000"/>
          <w:sz w:val="28"/>
          <w:szCs w:val="28"/>
        </w:rPr>
        <w:t>4</w:t>
      </w:r>
      <w:r>
        <w:rPr>
          <w:rFonts w:ascii="仿宋" w:hAnsi="仿宋" w:cs="仿宋" w:eastAsia="仿宋"/>
          <w:color w:val="000000"/>
          <w:sz w:val="28"/>
          <w:szCs w:val="28"/>
        </w:rPr>
        <w:t>）交易合同或协议必须为书面形式，包括业务系统生成的资金成交单，并明确交易日期、交易方向、交易价格或利率、账户结算方式、交割金额、交割时间、调剂期限等要素。</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 xml:space="preserve"> </w:t>
      </w:r>
      <w:r>
        <w:rPr>
          <w:rFonts w:eastAsia="仿宋" w:cs="仿宋" w:ascii="仿宋" w:hAnsi="仿宋"/>
          <w:color w:val="000000"/>
          <w:sz w:val="28"/>
          <w:szCs w:val="28"/>
        </w:rPr>
        <w:t>4</w:t>
      </w:r>
      <w:r>
        <w:rPr>
          <w:rFonts w:ascii="仿宋" w:hAnsi="仿宋" w:cs="仿宋" w:eastAsia="仿宋"/>
          <w:color w:val="000000"/>
          <w:sz w:val="28"/>
          <w:szCs w:val="28"/>
        </w:rPr>
        <w:t>、账务处理</w:t>
      </w:r>
    </w:p>
    <w:p>
      <w:pPr>
        <w:pStyle w:val="BodyText"/>
        <w:overflowPunct w:val="false"/>
        <w:spacing w:lineRule="auto" w:line="360"/>
        <w:ind w:firstLine="537" w:right="0"/>
        <w:rPr/>
      </w:pPr>
      <w:r>
        <w:rPr>
          <w:rFonts w:ascii="仿宋" w:hAnsi="仿宋" w:cs="仿宋" w:eastAsia="仿宋"/>
          <w:color w:val="000000"/>
          <w:sz w:val="28"/>
          <w:szCs w:val="28"/>
        </w:rPr>
        <w:t>（</w:t>
      </w:r>
      <w:r>
        <w:rPr>
          <w:rFonts w:eastAsia="仿宋" w:cs="仿宋" w:ascii="仿宋" w:hAnsi="仿宋"/>
          <w:color w:val="000000"/>
          <w:sz w:val="28"/>
          <w:szCs w:val="28"/>
        </w:rPr>
        <w:t>1</w:t>
      </w:r>
      <w:r>
        <w:rPr>
          <w:rFonts w:ascii="仿宋" w:hAnsi="仿宋" w:cs="仿宋" w:eastAsia="仿宋"/>
          <w:color w:val="000000"/>
          <w:sz w:val="28"/>
          <w:szCs w:val="28"/>
        </w:rPr>
        <w:t>）交易岗要在资金清算首期关注调剂资金是否到账，关注到期调剂资金本息是否正确。</w:t>
      </w:r>
    </w:p>
    <w:p>
      <w:pPr>
        <w:pStyle w:val="BodyText"/>
        <w:overflowPunct w:val="false"/>
        <w:spacing w:lineRule="auto" w:line="360"/>
        <w:ind w:firstLine="537" w:right="0"/>
        <w:rPr/>
      </w:pPr>
      <w:r>
        <w:rPr>
          <w:rFonts w:ascii="仿宋" w:hAnsi="仿宋" w:cs="仿宋" w:eastAsia="仿宋"/>
          <w:color w:val="000000"/>
          <w:sz w:val="28"/>
          <w:szCs w:val="28"/>
        </w:rPr>
        <w:t>（</w:t>
      </w:r>
      <w:r>
        <w:rPr>
          <w:rFonts w:eastAsia="仿宋" w:cs="仿宋" w:ascii="仿宋" w:hAnsi="仿宋"/>
          <w:color w:val="000000"/>
          <w:sz w:val="28"/>
          <w:szCs w:val="28"/>
        </w:rPr>
        <w:t>2</w:t>
      </w:r>
      <w:r>
        <w:rPr>
          <w:rFonts w:ascii="仿宋" w:hAnsi="仿宋" w:cs="仿宋" w:eastAsia="仿宋"/>
          <w:color w:val="000000"/>
          <w:sz w:val="28"/>
          <w:szCs w:val="28"/>
        </w:rPr>
        <w:t>）调剂资金到期日，资金交易岗填制</w:t>
      </w:r>
      <w:r>
        <w:rPr>
          <w:rFonts w:ascii="仿宋" w:hAnsi="仿宋" w:cs="仿宋" w:eastAsia="仿宋"/>
          <w:sz w:val="28"/>
          <w:szCs w:val="28"/>
        </w:rPr>
        <w:t>《资金收、划款通知书》，经部门负责人审批后，</w:t>
      </w:r>
      <w:r>
        <w:rPr>
          <w:rFonts w:ascii="仿宋" w:hAnsi="仿宋" w:cs="仿宋" w:eastAsia="仿宋"/>
          <w:color w:val="000000"/>
          <w:sz w:val="28"/>
          <w:szCs w:val="28"/>
        </w:rPr>
        <w:t>送清算中心，经清算中心负责人审核后，办理款项的汇划。</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 xml:space="preserve"> </w:t>
      </w:r>
      <w:r>
        <w:rPr>
          <w:rFonts w:eastAsia="仿宋" w:cs="仿宋" w:ascii="仿宋" w:hAnsi="仿宋"/>
          <w:color w:val="000000"/>
          <w:sz w:val="28"/>
          <w:szCs w:val="28"/>
        </w:rPr>
        <w:t>5</w:t>
      </w:r>
      <w:r>
        <w:rPr>
          <w:rFonts w:ascii="仿宋" w:hAnsi="仿宋" w:cs="仿宋" w:eastAsia="仿宋"/>
          <w:color w:val="000000"/>
          <w:sz w:val="28"/>
          <w:szCs w:val="28"/>
        </w:rPr>
        <w:t>、资料归档</w:t>
      </w:r>
    </w:p>
    <w:p>
      <w:pPr>
        <w:pStyle w:val="Normal"/>
        <w:spacing w:lineRule="auto" w:line="360"/>
        <w:ind w:firstLine="537" w:right="0"/>
        <w:jc w:val="left"/>
        <w:rPr>
          <w:rFonts w:ascii="仿宋" w:hAnsi="仿宋" w:eastAsia="仿宋" w:cs="仿宋"/>
          <w:color w:val="000000"/>
          <w:sz w:val="28"/>
          <w:szCs w:val="28"/>
        </w:rPr>
      </w:pPr>
      <w:r>
        <w:rPr>
          <w:rFonts w:ascii="仿宋" w:hAnsi="仿宋" w:cs="仿宋" w:eastAsia="仿宋"/>
          <w:color w:val="000000"/>
          <w:sz w:val="28"/>
          <w:szCs w:val="28"/>
        </w:rPr>
        <w:t>交易岗逐笔登记相应台账，负责交易成交单、系统内资金调剂成交合同等资料的归档保存。</w:t>
      </w:r>
    </w:p>
    <w:p>
      <w:pPr>
        <w:pStyle w:val="Normal"/>
        <w:spacing w:lineRule="auto" w:line="360"/>
        <w:ind w:firstLine="539" w:right="0"/>
        <w:jc w:val="left"/>
        <w:rPr>
          <w:rFonts w:ascii="仿宋" w:hAnsi="仿宋" w:eastAsia="仿宋" w:cs="仿宋"/>
          <w:b/>
          <w:color w:val="000000"/>
          <w:sz w:val="28"/>
          <w:szCs w:val="28"/>
        </w:rPr>
      </w:pPr>
      <w:r>
        <w:rPr>
          <w:rFonts w:ascii="仿宋" w:hAnsi="仿宋" w:cs="仿宋" w:eastAsia="仿宋"/>
          <w:b/>
          <w:color w:val="000000"/>
          <w:sz w:val="28"/>
          <w:szCs w:val="28"/>
        </w:rPr>
        <w:t>四、存放同业流程说明</w:t>
      </w:r>
    </w:p>
    <w:p>
      <w:pPr>
        <w:pStyle w:val="BodyText"/>
        <w:overflowPunct w:val="false"/>
        <w:spacing w:lineRule="auto" w:line="360"/>
        <w:ind w:firstLine="537" w:right="0"/>
        <w:rPr>
          <w:rFonts w:ascii="仿宋" w:hAnsi="仿宋" w:eastAsia="仿宋" w:cs="仿宋"/>
          <w:color w:val="000000"/>
          <w:sz w:val="28"/>
          <w:szCs w:val="28"/>
        </w:rPr>
      </w:pPr>
      <w:r>
        <w:rPr>
          <w:rFonts w:eastAsia="仿宋" w:cs="仿宋" w:ascii="仿宋" w:hAnsi="仿宋"/>
          <w:color w:val="000000"/>
          <w:sz w:val="28"/>
          <w:szCs w:val="28"/>
        </w:rPr>
        <w:t>1</w:t>
      </w:r>
      <w:r>
        <w:rPr>
          <w:rFonts w:ascii="仿宋" w:hAnsi="仿宋" w:cs="仿宋" w:eastAsia="仿宋"/>
          <w:color w:val="000000"/>
          <w:sz w:val="28"/>
          <w:szCs w:val="28"/>
        </w:rPr>
        <w:t>、业务受理</w:t>
      </w:r>
    </w:p>
    <w:p>
      <w:pPr>
        <w:pStyle w:val="BodyText"/>
        <w:numPr>
          <w:ilvl w:val="0"/>
          <w:numId w:val="4"/>
        </w:numPr>
        <w:overflowPunct w:val="false"/>
        <w:spacing w:lineRule="auto" w:line="360"/>
        <w:ind w:firstLine="537" w:left="0" w:right="0"/>
        <w:rPr>
          <w:rFonts w:ascii="仿宋" w:hAnsi="仿宋" w:eastAsia="仿宋" w:cs="仿宋"/>
          <w:color w:val="000000"/>
          <w:sz w:val="28"/>
          <w:szCs w:val="28"/>
        </w:rPr>
      </w:pPr>
      <w:r>
        <w:rPr>
          <w:rFonts w:ascii="仿宋" w:hAnsi="仿宋" w:cs="仿宋" w:eastAsia="仿宋"/>
          <w:color w:val="000000"/>
          <w:sz w:val="28"/>
          <w:szCs w:val="28"/>
        </w:rPr>
        <w:t>非结算类存放同业</w:t>
      </w:r>
      <w:r>
        <w:rPr>
          <w:rFonts w:eastAsia="仿宋" w:cs="仿宋" w:ascii="仿宋" w:hAnsi="仿宋"/>
          <w:color w:val="000000"/>
          <w:sz w:val="28"/>
          <w:szCs w:val="28"/>
        </w:rPr>
        <w:t>,</w:t>
      </w:r>
      <w:r>
        <w:rPr>
          <w:rFonts w:ascii="仿宋" w:hAnsi="仿宋" w:cs="仿宋" w:eastAsia="仿宋"/>
          <w:color w:val="000000"/>
          <w:sz w:val="28"/>
          <w:szCs w:val="28"/>
        </w:rPr>
        <w:t>交易对手需获得授信额度方可办理该项业务，对方行提出存放同业业务授信申请，金融市场部对其业务准入资格进行初审。</w:t>
      </w:r>
    </w:p>
    <w:p>
      <w:pPr>
        <w:pStyle w:val="Normal"/>
        <w:spacing w:lineRule="auto" w:line="360"/>
        <w:ind w:firstLine="537" w:right="0"/>
        <w:rPr/>
      </w:pPr>
      <w:r>
        <w:rPr>
          <w:rFonts w:ascii="仿宋" w:hAnsi="仿宋" w:cs="仿宋" w:eastAsia="仿宋"/>
          <w:color w:val="000000"/>
          <w:sz w:val="28"/>
          <w:szCs w:val="28"/>
        </w:rPr>
        <w:t>（</w:t>
      </w:r>
      <w:r>
        <w:rPr>
          <w:rFonts w:eastAsia="仿宋" w:cs="仿宋" w:ascii="仿宋" w:hAnsi="仿宋"/>
          <w:color w:val="000000"/>
          <w:sz w:val="28"/>
          <w:szCs w:val="28"/>
        </w:rPr>
        <w:t>2</w:t>
      </w:r>
      <w:r>
        <w:rPr>
          <w:rFonts w:ascii="仿宋" w:hAnsi="仿宋" w:cs="仿宋" w:eastAsia="仿宋"/>
          <w:color w:val="000000"/>
          <w:sz w:val="28"/>
          <w:szCs w:val="28"/>
        </w:rPr>
        <w:t>）对符合准入条件的机构，需提供以下资料：营业执照正副本（三证合一）、金融许可证复印件、法定代表人（负责人）身份证复印件、开户许可证复印件、上三年度审计报告、上一季度财务报表、公司章程、公司章程、总行简介、主要高管人员简历、组织架构、如分支机构营业执照无从事同业资格，需提交总行授权委托书复印件。 并将上述材料加盖申请授信行公章后寄至金融市场部</w:t>
      </w:r>
      <w:bookmarkStart w:id="1" w:name="OLE_LINK1"/>
      <w:r>
        <w:rPr>
          <w:rFonts w:ascii="仿宋" w:hAnsi="仿宋" w:cs="仿宋" w:eastAsia="仿宋"/>
          <w:color w:val="000000"/>
          <w:sz w:val="28"/>
          <w:szCs w:val="28"/>
        </w:rPr>
        <w:t>。</w:t>
      </w:r>
    </w:p>
    <w:p>
      <w:pPr>
        <w:pStyle w:val="Normal"/>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w:t>
      </w:r>
      <w:r>
        <w:rPr>
          <w:rFonts w:eastAsia="仿宋" w:cs="仿宋" w:ascii="仿宋" w:hAnsi="仿宋"/>
          <w:color w:val="000000"/>
          <w:sz w:val="28"/>
          <w:szCs w:val="28"/>
        </w:rPr>
        <w:t>3</w:t>
      </w:r>
      <w:r>
        <w:rPr>
          <w:rFonts w:ascii="仿宋" w:hAnsi="仿宋" w:cs="仿宋" w:eastAsia="仿宋"/>
          <w:color w:val="000000"/>
          <w:sz w:val="28"/>
          <w:szCs w:val="28"/>
        </w:rPr>
        <w:t>）</w:t>
      </w:r>
      <w:bookmarkEnd w:id="1"/>
      <w:r>
        <w:rPr>
          <w:rFonts w:ascii="仿宋" w:hAnsi="仿宋" w:cs="仿宋" w:eastAsia="仿宋"/>
          <w:color w:val="000000"/>
          <w:sz w:val="28"/>
          <w:szCs w:val="28"/>
        </w:rPr>
        <w:t>金融市场部根据申请机构资信状况、与本行历史交易记录等提出拟定授信额度，填列同业统一授信额度申请表交授信评审部在转授权办法权限内授信。</w:t>
      </w:r>
    </w:p>
    <w:p>
      <w:pPr>
        <w:pStyle w:val="BodyText"/>
        <w:overflowPunct w:val="false"/>
        <w:spacing w:lineRule="auto" w:line="360"/>
        <w:ind w:firstLine="537" w:right="0"/>
        <w:rPr>
          <w:rFonts w:ascii="仿宋" w:hAnsi="仿宋" w:eastAsia="仿宋" w:cs="仿宋"/>
          <w:color w:val="000000"/>
          <w:sz w:val="28"/>
          <w:szCs w:val="28"/>
        </w:rPr>
      </w:pPr>
      <w:r>
        <w:rPr>
          <w:rFonts w:eastAsia="仿宋" w:cs="仿宋" w:ascii="仿宋" w:hAnsi="仿宋"/>
          <w:color w:val="000000"/>
          <w:sz w:val="28"/>
          <w:szCs w:val="28"/>
        </w:rPr>
        <w:t>2</w:t>
      </w:r>
      <w:r>
        <w:rPr>
          <w:rFonts w:ascii="仿宋" w:hAnsi="仿宋" w:cs="仿宋" w:eastAsia="仿宋"/>
          <w:color w:val="000000"/>
          <w:sz w:val="28"/>
          <w:szCs w:val="28"/>
        </w:rPr>
        <w:t>、业务申请</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交易岗根据当日资金头寸确定当日资金余缺，根据市场具体情况提出计划，经部门负责人和分管行长批准，操作存放同业业务。</w:t>
      </w:r>
    </w:p>
    <w:p>
      <w:pPr>
        <w:pStyle w:val="BodyText"/>
        <w:overflowPunct w:val="false"/>
        <w:spacing w:lineRule="auto" w:line="360"/>
        <w:ind w:firstLine="537" w:right="0"/>
        <w:rPr>
          <w:rFonts w:ascii="仿宋" w:hAnsi="仿宋" w:eastAsia="仿宋" w:cs="仿宋"/>
          <w:color w:val="000000"/>
          <w:sz w:val="28"/>
          <w:szCs w:val="28"/>
        </w:rPr>
      </w:pPr>
      <w:r>
        <w:rPr>
          <w:rFonts w:eastAsia="仿宋" w:cs="仿宋" w:ascii="仿宋" w:hAnsi="仿宋"/>
          <w:color w:val="000000"/>
          <w:sz w:val="28"/>
          <w:szCs w:val="28"/>
        </w:rPr>
        <w:t>3</w:t>
      </w:r>
      <w:r>
        <w:rPr>
          <w:rFonts w:ascii="仿宋" w:hAnsi="仿宋" w:cs="仿宋" w:eastAsia="仿宋"/>
          <w:color w:val="000000"/>
          <w:sz w:val="28"/>
          <w:szCs w:val="28"/>
        </w:rPr>
        <w:t>、业务审批</w:t>
      </w:r>
    </w:p>
    <w:p>
      <w:pPr>
        <w:pStyle w:val="BodyText"/>
        <w:overflowPunct w:val="false"/>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根据询价内容填写《资金收、划款审批表》，经复核岗复核，风险经理审核，经部门负责人同意，审批表呈分管行长审批。</w:t>
      </w:r>
    </w:p>
    <w:p>
      <w:pPr>
        <w:pStyle w:val="BodyText"/>
        <w:overflowPunct w:val="false"/>
        <w:spacing w:lineRule="auto" w:line="360"/>
        <w:ind w:firstLine="537" w:right="0"/>
        <w:rPr>
          <w:rFonts w:ascii="仿宋" w:hAnsi="仿宋" w:eastAsia="仿宋" w:cs="仿宋"/>
          <w:color w:val="000000"/>
          <w:sz w:val="28"/>
          <w:szCs w:val="28"/>
        </w:rPr>
      </w:pPr>
      <w:r>
        <w:rPr>
          <w:rFonts w:eastAsia="仿宋" w:cs="仿宋" w:ascii="仿宋" w:hAnsi="仿宋"/>
          <w:color w:val="000000"/>
          <w:sz w:val="28"/>
          <w:szCs w:val="28"/>
        </w:rPr>
        <w:t>4</w:t>
      </w:r>
      <w:r>
        <w:rPr>
          <w:rFonts w:ascii="仿宋" w:hAnsi="仿宋" w:cs="仿宋" w:eastAsia="仿宋"/>
          <w:color w:val="000000"/>
          <w:sz w:val="28"/>
          <w:szCs w:val="28"/>
        </w:rPr>
        <w:t>、签订协议</w:t>
      </w:r>
    </w:p>
    <w:p>
      <w:pPr>
        <w:pStyle w:val="BodyText"/>
        <w:numPr>
          <w:ilvl w:val="0"/>
          <w:numId w:val="5"/>
        </w:numPr>
        <w:overflowPunct w:val="false"/>
        <w:spacing w:lineRule="auto" w:line="360"/>
        <w:ind w:firstLine="537" w:left="0" w:right="0"/>
        <w:rPr>
          <w:rFonts w:ascii="仿宋" w:hAnsi="仿宋" w:eastAsia="仿宋" w:cs="仿宋"/>
          <w:color w:val="000000"/>
          <w:sz w:val="28"/>
          <w:szCs w:val="28"/>
        </w:rPr>
      </w:pPr>
      <w:r>
        <w:rPr>
          <w:rFonts w:ascii="仿宋" w:hAnsi="仿宋" w:cs="仿宋" w:eastAsia="仿宋"/>
          <w:color w:val="000000"/>
          <w:sz w:val="28"/>
          <w:szCs w:val="28"/>
        </w:rPr>
        <w:t>结算类存放资金是活期且利率是按人行基准利率计算的双方可不签订存放协议。</w:t>
      </w:r>
    </w:p>
    <w:p>
      <w:pPr>
        <w:pStyle w:val="BodyText"/>
        <w:numPr>
          <w:ilvl w:val="0"/>
          <w:numId w:val="5"/>
        </w:numPr>
        <w:overflowPunct w:val="false"/>
        <w:spacing w:lineRule="auto" w:line="360"/>
        <w:ind w:firstLine="537" w:left="0" w:right="0"/>
        <w:rPr>
          <w:rFonts w:ascii="仿宋" w:hAnsi="仿宋" w:eastAsia="仿宋" w:cs="仿宋"/>
          <w:color w:val="000000"/>
          <w:sz w:val="28"/>
          <w:szCs w:val="28"/>
        </w:rPr>
      </w:pPr>
      <w:r>
        <w:rPr>
          <w:rFonts w:ascii="仿宋" w:hAnsi="仿宋" w:cs="仿宋" w:eastAsia="仿宋"/>
          <w:color w:val="000000"/>
          <w:sz w:val="28"/>
          <w:szCs w:val="28"/>
        </w:rPr>
        <w:t>非结算类存放资金是定期的且利率是双方协商的，交易双方需签订存放同业协议（协议经合规管理部审核合格），协议经有权人签字后，加盖单位公章。</w:t>
      </w:r>
    </w:p>
    <w:p>
      <w:pPr>
        <w:pStyle w:val="BodyText"/>
        <w:overflowPunct w:val="false"/>
        <w:spacing w:lineRule="auto" w:line="360"/>
        <w:ind w:firstLine="537" w:right="0"/>
        <w:rPr/>
      </w:pPr>
      <w:r>
        <w:rPr>
          <w:rFonts w:eastAsia="仿宋" w:cs="仿宋" w:ascii="仿宋" w:hAnsi="仿宋"/>
          <w:color w:val="000000"/>
          <w:sz w:val="28"/>
          <w:szCs w:val="28"/>
        </w:rPr>
        <w:t>5</w:t>
      </w:r>
      <w:r>
        <w:rPr>
          <w:rFonts w:ascii="仿宋" w:hAnsi="仿宋" w:cs="仿宋" w:eastAsia="仿宋"/>
          <w:color w:val="000000"/>
          <w:sz w:val="28"/>
          <w:szCs w:val="28"/>
        </w:rPr>
        <w:t>、账务处理</w:t>
      </w:r>
    </w:p>
    <w:p>
      <w:pPr>
        <w:pStyle w:val="BodyText"/>
        <w:overflowPunct w:val="false"/>
        <w:spacing w:lineRule="auto" w:line="360"/>
        <w:ind w:firstLine="537" w:left="155" w:right="0"/>
        <w:rPr/>
      </w:pPr>
      <w:r>
        <w:rPr>
          <w:rFonts w:ascii="仿宋" w:hAnsi="仿宋" w:cs="仿宋" w:eastAsia="仿宋"/>
          <w:color w:val="000000"/>
          <w:sz w:val="28"/>
          <w:szCs w:val="28"/>
        </w:rPr>
        <w:t xml:space="preserve"> </w:t>
      </w:r>
      <w:r>
        <w:rPr>
          <w:rFonts w:ascii="仿宋" w:hAnsi="仿宋" w:cs="仿宋" w:eastAsia="仿宋"/>
          <w:color w:val="000000"/>
          <w:sz w:val="28"/>
          <w:szCs w:val="28"/>
        </w:rPr>
        <w:t>（</w:t>
      </w:r>
      <w:r>
        <w:rPr>
          <w:rFonts w:eastAsia="仿宋" w:cs="仿宋" w:ascii="仿宋" w:hAnsi="仿宋"/>
          <w:color w:val="000000"/>
          <w:sz w:val="28"/>
          <w:szCs w:val="28"/>
        </w:rPr>
        <w:t>1</w:t>
      </w:r>
      <w:r>
        <w:rPr>
          <w:rFonts w:ascii="仿宋" w:hAnsi="仿宋" w:cs="仿宋" w:eastAsia="仿宋"/>
          <w:color w:val="000000"/>
          <w:sz w:val="28"/>
          <w:szCs w:val="28"/>
        </w:rPr>
        <w:t>）金融市场部前期根据与交易对手的授信以及合作意向，要求交易对手提供营业执照三证合一、</w:t>
      </w:r>
      <w:r>
        <w:rPr>
          <w:rFonts w:ascii="仿宋" w:hAnsi="仿宋" w:cs="仿宋" w:eastAsia="仿宋"/>
          <w:color w:val="000000"/>
          <w:sz w:val="28"/>
          <w:szCs w:val="28"/>
        </w:rPr>
        <w:t xml:space="preserve"> </w:t>
      </w:r>
      <w:r>
        <w:rPr>
          <w:rFonts w:ascii="仿宋" w:hAnsi="仿宋" w:cs="仿宋" w:eastAsia="仿宋"/>
          <w:color w:val="000000"/>
          <w:sz w:val="28"/>
          <w:szCs w:val="28"/>
        </w:rPr>
        <w:t>开户许可证、金融许可证、法定代表人</w:t>
      </w:r>
      <w:r>
        <w:rPr>
          <w:rFonts w:eastAsia="仿宋" w:cs="仿宋" w:ascii="仿宋" w:hAnsi="仿宋"/>
          <w:color w:val="000000"/>
          <w:sz w:val="28"/>
          <w:szCs w:val="28"/>
        </w:rPr>
        <w:t>/</w:t>
      </w:r>
      <w:r>
        <w:rPr>
          <w:rFonts w:ascii="仿宋" w:hAnsi="仿宋" w:cs="仿宋" w:eastAsia="仿宋"/>
          <w:color w:val="000000"/>
          <w:sz w:val="28"/>
          <w:szCs w:val="28"/>
        </w:rPr>
        <w:t>负责人身份证、经办人身份证、单位存款开户申请书、存款账户管理协议和印鉴卡等相关加盖公章的开户资料，另附金融市场部出具的开户申请，交清算中心开立同业账户。</w:t>
      </w:r>
    </w:p>
    <w:p>
      <w:pPr>
        <w:pStyle w:val="BodyText"/>
        <w:overflowPunct w:val="false"/>
        <w:spacing w:lineRule="auto" w:line="360"/>
        <w:ind w:firstLine="537" w:left="155" w:right="0"/>
        <w:rPr/>
      </w:pPr>
      <w:r>
        <w:rPr>
          <w:rFonts w:ascii="仿宋" w:hAnsi="仿宋" w:cs="仿宋" w:eastAsia="仿宋"/>
          <w:color w:val="000000"/>
          <w:sz w:val="28"/>
          <w:szCs w:val="28"/>
        </w:rPr>
        <w:t>（</w:t>
      </w:r>
      <w:r>
        <w:rPr>
          <w:rFonts w:eastAsia="仿宋" w:cs="仿宋" w:ascii="仿宋" w:hAnsi="仿宋"/>
          <w:color w:val="000000"/>
          <w:sz w:val="28"/>
          <w:szCs w:val="28"/>
        </w:rPr>
        <w:t>2</w:t>
      </w:r>
      <w:r>
        <w:rPr>
          <w:rFonts w:ascii="仿宋" w:hAnsi="仿宋" w:cs="仿宋" w:eastAsia="仿宋"/>
          <w:color w:val="000000"/>
          <w:sz w:val="28"/>
          <w:szCs w:val="28"/>
        </w:rPr>
        <w:t>）业务发生后，交易双方签订书面合同，填制《资金收、划款通知书》，经部门负责人审批后，连同存放同业协议交清算中心进行账户开户、资金划拨和会计核算。交易员需跟踪资金清算、存放到期情况及时联系清算中心，确保资金足额到账。</w:t>
      </w:r>
    </w:p>
    <w:p>
      <w:pPr>
        <w:pStyle w:val="BodyText"/>
        <w:overflowPunct w:val="false"/>
        <w:spacing w:lineRule="auto" w:line="360"/>
        <w:ind w:firstLine="537" w:right="0"/>
        <w:rPr>
          <w:rFonts w:ascii="仿宋" w:hAnsi="仿宋" w:eastAsia="仿宋" w:cs="仿宋"/>
          <w:color w:val="000000"/>
          <w:sz w:val="28"/>
          <w:szCs w:val="28"/>
        </w:rPr>
      </w:pPr>
      <w:r>
        <w:rPr>
          <w:rFonts w:eastAsia="仿宋" w:cs="仿宋" w:ascii="仿宋" w:hAnsi="仿宋"/>
          <w:color w:val="000000"/>
          <w:sz w:val="28"/>
          <w:szCs w:val="28"/>
        </w:rPr>
        <w:t>6</w:t>
      </w:r>
      <w:r>
        <w:rPr>
          <w:rFonts w:ascii="仿宋" w:hAnsi="仿宋" w:cs="仿宋" w:eastAsia="仿宋"/>
          <w:color w:val="000000"/>
          <w:sz w:val="28"/>
          <w:szCs w:val="28"/>
        </w:rPr>
        <w:t>．资料归档</w:t>
      </w:r>
    </w:p>
    <w:p>
      <w:pPr>
        <w:pStyle w:val="BodyText"/>
        <w:overflowPunct w:val="false"/>
        <w:spacing w:lineRule="auto" w:line="360"/>
        <w:ind w:firstLine="537" w:right="0"/>
        <w:rPr/>
      </w:pPr>
      <w:r>
        <w:rPr>
          <w:rFonts w:ascii="仿宋" w:hAnsi="仿宋" w:cs="仿宋" w:eastAsia="仿宋"/>
          <w:color w:val="000000"/>
          <w:sz w:val="28"/>
          <w:szCs w:val="28"/>
        </w:rPr>
        <w:t>交易岗负责交易台账登记，做好存放同业协议、《资金收、划款审批表》等交易资料的归档保存。</w:t>
      </w:r>
      <w:r>
        <w:rPr>
          <w:rFonts w:ascii="仿宋" w:hAnsi="仿宋" w:cs="仿宋" w:eastAsia="仿宋"/>
          <w:sz w:val="28"/>
          <w:szCs w:val="28"/>
        </w:rPr>
        <w:t xml:space="preserve"> </w:t>
      </w:r>
    </w:p>
    <w:p>
      <w:pPr>
        <w:pStyle w:val="BodyText"/>
        <w:overflowPunct w:val="false"/>
        <w:spacing w:lineRule="auto" w:line="360"/>
        <w:ind w:firstLine="539" w:right="0"/>
        <w:rPr/>
      </w:pPr>
      <w:r>
        <w:rPr>
          <w:rFonts w:ascii="仿宋" w:hAnsi="仿宋" w:cs="仿宋" w:eastAsia="仿宋"/>
          <w:b/>
          <w:bCs/>
          <w:sz w:val="28"/>
          <w:szCs w:val="28"/>
        </w:rPr>
        <w:t>五、同业存放流程说明</w:t>
      </w:r>
      <w:r>
        <w:rPr>
          <w:rFonts w:ascii="仿宋" w:hAnsi="仿宋" w:cs="仿宋" w:eastAsia="仿宋"/>
          <w:sz w:val="28"/>
          <w:szCs w:val="28"/>
        </w:rPr>
        <w:t xml:space="preserve">      </w:t>
      </w:r>
    </w:p>
    <w:p>
      <w:pPr>
        <w:pStyle w:val="BodyText"/>
        <w:overflowPunct w:val="false"/>
        <w:spacing w:lineRule="auto" w:line="360"/>
        <w:ind w:firstLine="537" w:right="0"/>
        <w:rPr>
          <w:rFonts w:ascii="仿宋" w:hAnsi="仿宋" w:eastAsia="仿宋" w:cs="仿宋"/>
          <w:sz w:val="28"/>
          <w:szCs w:val="28"/>
        </w:rPr>
      </w:pPr>
      <w:r>
        <w:rPr>
          <w:rFonts w:ascii="仿宋" w:hAnsi="仿宋" w:cs="仿宋" w:eastAsia="仿宋"/>
          <w:sz w:val="28"/>
          <w:szCs w:val="28"/>
        </w:rPr>
        <w:t xml:space="preserve">参照存放同业业务流程办理   </w:t>
      </w:r>
    </w:p>
    <w:p>
      <w:pPr>
        <w:pStyle w:val="Normal"/>
        <w:spacing w:lineRule="auto" w:line="360" w:before="156" w:after="0"/>
        <w:ind w:firstLine="809" w:right="0"/>
        <w:jc w:val="center"/>
        <w:rPr>
          <w:rFonts w:ascii="仿宋" w:hAnsi="仿宋" w:eastAsia="仿宋" w:cs="黑体;SimHei"/>
          <w:b/>
          <w:sz w:val="28"/>
          <w:szCs w:val="28"/>
        </w:rPr>
      </w:pPr>
      <w:r>
        <w:rPr>
          <w:rFonts w:ascii="仿宋" w:hAnsi="仿宋" w:cs="黑体;SimHei" w:eastAsia="仿宋"/>
          <w:b/>
          <w:sz w:val="28"/>
          <w:szCs w:val="28"/>
        </w:rPr>
        <w:t>第三章  附则</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、本细则由</w:t>
      </w:r>
      <w:r>
        <w:rPr>
          <w:rFonts w:eastAsia="仿宋" w:cs="仿宋" w:ascii="仿宋" w:hAnsi="仿宋"/>
          <w:sz w:val="28"/>
          <w:szCs w:val="28"/>
        </w:rPr>
        <w:t>××××</w:t>
      </w:r>
      <w:r>
        <w:rPr>
          <w:rFonts w:ascii="仿宋" w:hAnsi="仿宋" w:cs="仿宋" w:eastAsia="仿宋"/>
          <w:sz w:val="28"/>
          <w:szCs w:val="28"/>
        </w:rPr>
        <w:t>银行股份有限公司金融市场部负责解释和修订。</w:t>
      </w:r>
    </w:p>
    <w:p>
      <w:pPr>
        <w:pStyle w:val="Normal"/>
        <w:spacing w:lineRule="auto" w:line="360"/>
        <w:ind w:firstLine="537" w:right="0"/>
        <w:rPr/>
      </w:pPr>
      <w:r>
        <w:rPr>
          <w:rFonts w:eastAsia="仿宋" w:cs="仿宋" w:ascii="仿宋" w:hAnsi="仿宋"/>
          <w:sz w:val="28"/>
          <w:szCs w:val="28"/>
        </w:rPr>
        <w:t>2</w:t>
      </w:r>
      <w:r>
        <w:rPr>
          <w:rFonts w:ascii="仿宋" w:hAnsi="仿宋" w:cs="仿宋" w:eastAsia="仿宋"/>
          <w:sz w:val="28"/>
          <w:szCs w:val="28"/>
        </w:rPr>
        <w:t>、本细则自公布之日起实施。</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宋体">
    <w:altName w:val="SimSun"/>
    <w:charset w:val="86"/>
    <w:family w:val="auto"/>
    <w:pitch w:val="variable"/>
  </w:font>
  <w:font w:name="Liberation Sans">
    <w:altName w:val="Arial"/>
    <w:charset w:val="01"/>
    <w:family w:val="swiss"/>
    <w:pitch w:val="variable"/>
  </w:font>
  <w:font w:name="仿宋_GB2312">
    <w:altName w:val="仿宋"/>
    <w:charset w:val="86"/>
    <w:family w:val="modern"/>
    <w:pitch w:val="default"/>
  </w:font>
  <w:font w:name="Verdana">
    <w:charset w:val="00"/>
    <w:family w:val="swiss"/>
    <w:pitch w:val="variable"/>
  </w:font>
  <w:font w:name="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ight="0"/>
      <w:rPr>
        <w:rFonts w:ascii="宋体;SimSun" w:hAnsi="宋体;SimSun" w:cs="宋体;SimSun"/>
        <w:sz w:val="24"/>
        <w:szCs w:val="24"/>
      </w:rPr>
    </w:pPr>
    <w:r>
      <w:rPr>
        <w:rFonts w:cs="宋体;SimSun" w:ascii="宋体;SimSun" w:hAnsi="宋体;SimSun"/>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taiwaneseCountingThousand"/>
      <w:suff w:val="nothing"/>
      <w:lvlText w:val="%1、"/>
      <w:lvlJc w:val="left"/>
      <w:pPr>
        <w:tabs>
          <w:tab w:val="num" w:pos="0"/>
        </w:tabs>
        <w:ind w:left="0" w:hanging="0"/>
      </w:pPr>
    </w:lvl>
  </w:abstractNum>
  <w:abstractNum w:abstractNumId="3">
    <w:lvl w:ilvl="0">
      <w:start w:val="1"/>
      <w:numFmt w:val="decimal"/>
      <w:suff w:val="nothing"/>
      <w:lvlText w:val="（%1）"/>
      <w:lvlJc w:val="left"/>
      <w:pPr>
        <w:tabs>
          <w:tab w:val="num" w:pos="0"/>
        </w:tabs>
        <w:ind w:left="0" w:hanging="0"/>
      </w:pPr>
    </w:lvl>
  </w:abstractNum>
  <w:abstractNum w:abstractNumId="4">
    <w:lvl w:ilvl="0">
      <w:start w:val="1"/>
      <w:numFmt w:val="decimal"/>
      <w:suff w:val="nothing"/>
      <w:lvlText w:val="（%1）"/>
      <w:lvlJc w:val="left"/>
      <w:pPr>
        <w:tabs>
          <w:tab w:val="num" w:pos="0"/>
        </w:tabs>
        <w:ind w:left="0" w:hanging="0"/>
      </w:pPr>
    </w:lvl>
  </w:abstractNum>
  <w:abstractNum w:abstractNumId="5">
    <w:lvl w:ilvl="0">
      <w:start w:val="1"/>
      <w:numFmt w:val="decimal"/>
      <w:suff w:val="nothing"/>
      <w:lvlText w:val="（%1）"/>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compat>
    <w:noLeading/>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WW8Num2z0">
    <w:name w:val="WW8Num2z0"/>
    <w:qFormat/>
    <w:rPr/>
  </w:style>
  <w:style w:type="character" w:styleId="Style12">
    <w:name w:val="默认段落字体"/>
    <w:qFormat/>
    <w:rPr/>
  </w:style>
  <w:style w:type="character" w:styleId="PageNumber">
    <w:name w:val="Page Number"/>
    <w:basedOn w:val="Style12"/>
    <w:rPr/>
  </w:style>
  <w:style w:type="character" w:styleId="Style13">
    <w:name w:val="批注引用"/>
    <w:qFormat/>
    <w:rPr>
      <w:sz w:val="21"/>
      <w:szCs w:val="21"/>
    </w:rPr>
  </w:style>
  <w:style w:type="character" w:styleId="Char">
    <w:name w:val="批注文字 Char"/>
    <w:qFormat/>
    <w:rPr>
      <w:kern w:val="2"/>
      <w:sz w:val="21"/>
      <w:szCs w:val="24"/>
    </w:rPr>
  </w:style>
  <w:style w:type="character" w:styleId="Char1">
    <w:name w:val="纯文本 Char"/>
    <w:qFormat/>
    <w:rPr>
      <w:rFonts w:ascii="宋体;SimSun" w:hAnsi="宋体;SimSun" w:eastAsia="仿宋_GB2312;仿宋" w:cs="Courier New"/>
      <w:kern w:val="2"/>
      <w:sz w:val="32"/>
    </w:rPr>
  </w:style>
  <w:style w:type="character" w:styleId="Char2">
    <w:name w:val="批注主题 Char"/>
    <w:qFormat/>
    <w:rPr>
      <w:b/>
      <w:bCs/>
      <w:kern w:val="2"/>
      <w:sz w:val="21"/>
      <w:szCs w:val="24"/>
    </w:rPr>
  </w:style>
  <w:style w:type="character" w:styleId="2Char">
    <w:name w:val="标题 2 Char"/>
    <w:qFormat/>
    <w:rPr>
      <w:rFonts w:ascii="Cambria" w:hAnsi="Cambria" w:eastAsia="宋体;SimSun"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left"/>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文字"/>
    <w:basedOn w:val="Normal"/>
    <w:qFormat/>
    <w:pPr>
      <w:jc w:val="left"/>
    </w:pPr>
    <w:rPr>
      <w:lang w:val="zh-CN"/>
    </w:rPr>
  </w:style>
  <w:style w:type="paragraph" w:styleId="Style15">
    <w:name w:val="批注主题"/>
    <w:basedOn w:val="Style14"/>
    <w:next w:val="Style14"/>
    <w:qFormat/>
    <w:pPr/>
    <w:rPr>
      <w:b/>
      <w:bCs/>
    </w:rPr>
  </w:style>
  <w:style w:type="paragraph" w:styleId="BodyTextIndent">
    <w:name w:val="Body Text Indent"/>
    <w:basedOn w:val="Normal"/>
    <w:pPr>
      <w:spacing w:lineRule="atLeast" w:line="560"/>
      <w:ind w:firstLine="480" w:left="0" w:right="0"/>
    </w:pPr>
    <w:rPr>
      <w:rFonts w:ascii="宋体;SimSun" w:hAnsi="宋体;SimSun" w:cs="宋体;SimSun"/>
      <w:sz w:val="24"/>
      <w:szCs w:val="30"/>
    </w:rPr>
  </w:style>
  <w:style w:type="paragraph" w:styleId="Style16">
    <w:name w:val="正文缩进"/>
    <w:basedOn w:val="Normal"/>
    <w:qFormat/>
    <w:pPr>
      <w:spacing w:lineRule="auto" w:line="360"/>
      <w:ind w:firstLine="420" w:left="0" w:right="0"/>
    </w:pPr>
    <w:rPr>
      <w:rFonts w:ascii="仿宋_GB2312;仿宋" w:hAnsi="仿宋_GB2312;仿宋" w:eastAsia="仿宋_GB2312;仿宋"/>
      <w:sz w:val="24"/>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批注框文本"/>
    <w:basedOn w:val="Normal"/>
    <w:qFormat/>
    <w:pPr/>
    <w:rPr>
      <w:sz w:val="18"/>
      <w:szCs w:val="18"/>
    </w:rPr>
  </w:style>
  <w:style w:type="paragraph" w:styleId="Style18">
    <w:name w:val="日期"/>
    <w:basedOn w:val="Normal"/>
    <w:next w:val="Normal"/>
    <w:qFormat/>
    <w:pPr>
      <w:ind w:hanging="0" w:left="100" w:right="0"/>
    </w:pPr>
    <w:rPr/>
  </w:style>
  <w:style w:type="paragraph" w:styleId="Style19">
    <w:name w:val="纯文本"/>
    <w:basedOn w:val="Normal"/>
    <w:qFormat/>
    <w:pPr/>
    <w:rPr>
      <w:rFonts w:ascii="宋体;SimSun" w:hAnsi="宋体;SimSun" w:eastAsia="仿宋_GB2312;仿宋" w:cs="Courier New"/>
      <w:sz w:val="32"/>
      <w:szCs w:val="20"/>
      <w:lang w:val="zh-CN"/>
    </w:rPr>
  </w:style>
  <w:style w:type="paragraph" w:styleId="Char3">
    <w:name w:val="Char"/>
    <w:basedOn w:val="Normal"/>
    <w:qFormat/>
    <w:pPr>
      <w:widowControl/>
      <w:spacing w:lineRule="exact" w:line="240" w:before="0" w:after="160"/>
      <w:jc w:val="left"/>
    </w:pPr>
    <w:rPr>
      <w:rFonts w:ascii="Verdana" w:hAnsi="Verdana" w:eastAsia="仿宋_GB2312;仿宋" w:cs="Verdana"/>
      <w:kern w:val="0"/>
      <w:sz w:val="20"/>
      <w:szCs w:val="20"/>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OC2">
    <w:name w:val="TOC 2"/>
    <w:basedOn w:val="Normal"/>
    <w:next w:val="Normal"/>
    <w:pPr>
      <w:tabs>
        <w:tab w:val="clear" w:pos="420"/>
        <w:tab w:val="right" w:pos="8296" w:leader="dot"/>
      </w:tabs>
      <w:spacing w:lineRule="exact" w:line="400"/>
      <w:ind w:hanging="0" w:left="420" w:right="0"/>
    </w:pPr>
    <w:rPr>
      <w:rFonts w:ascii="宋体;SimSun" w:hAnsi="宋体;SimSun" w:cs="宋体;SimSun"/>
      <w:b/>
      <w:sz w:val="24"/>
      <w:lang w:val="zh-CN" w:eastAsia="zh-CN"/>
    </w:rPr>
  </w:style>
  <w:style w:type="paragraph" w:styleId="Style20">
    <w:name w:val="二级标题"/>
    <w:basedOn w:val="Heading2"/>
    <w:next w:val="Normal"/>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175</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2011-02-24T11:44:00Z</dcterms:created>
  <dc:creator>Administrator</dc:creator>
  <dc:description/>
  <cp:keywords/>
  <dc:language>zh-CN</dc:language>
  <cp:lastModifiedBy>方 盈</cp:lastModifiedBy>
  <cp:lastPrinted>2017-04-06T10:29:00Z</cp:lastPrinted>
  <dcterms:modified xsi:type="dcterms:W3CDTF">2020-01-08T20:47:00Z</dcterms:modified>
  <cp:revision>6</cp:revision>
  <dc:subject/>
  <dc:title>银行间市场融资业务管理制度与流程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