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1600" w:left="2780" w:right="132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5"/>
        <w:numPr>
          <w:ilvl w:val="0"/>
          <w:numId w:val="0"/>
        </w:numPr>
        <w:tabs>
          <w:tab w:val="clear" w:pos="420"/>
          <w:tab w:val="left" w:pos="0" w:leader="none"/>
        </w:tabs>
        <w:snapToGrid w:val="true"/>
        <w:ind w:hanging="0" w:left="0"/>
        <w:rPr>
          <w:rFonts w:ascii="Times New Roman" w:hAnsi="Times New Roman" w:eastAsia="华文中宋" w:cs="Times New Roman"/>
          <w:sz w:val="36"/>
          <w:szCs w:val="36"/>
        </w:rPr>
      </w:pPr>
      <w:r>
        <w:rPr>
          <w:rFonts w:ascii="Times New Roman" w:hAnsi="Times New Roman" w:cs="Times New Roman"/>
          <w:b/>
          <w:bCs/>
          <w:lang w:bidi="en-US"/>
        </w:rPr>
        <w:t>监管统计数据质量问题追责细则</w:t>
      </w:r>
    </w:p>
    <w:p>
      <w:pPr>
        <w:pStyle w:val="Normal"/>
        <w:spacing w:lineRule="auto" w:line="360" w:before="156" w:after="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60" w:right="0"/>
        <w:rPr/>
      </w:pPr>
      <w:r>
        <w:rPr>
          <w:rFonts w:eastAsia="仿宋_GB2312;仿宋"/>
          <w:sz w:val="28"/>
          <w:szCs w:val="28"/>
        </w:rPr>
        <w:t>第一条</w:t>
      </w:r>
      <w:r>
        <w:rPr>
          <w:rFonts w:eastAsia="Times New Roman"/>
          <w:sz w:val="28"/>
          <w:szCs w:val="28"/>
        </w:rPr>
        <w:t xml:space="preserve">  </w:t>
      </w:r>
      <w:r>
        <w:rPr>
          <w:rFonts w:eastAsia="仿宋_GB2312;仿宋"/>
          <w:sz w:val="28"/>
          <w:szCs w:val="28"/>
        </w:rPr>
        <w:t>为进一步加强</w:t>
      </w:r>
      <w:r>
        <w:rPr>
          <w:rFonts w:eastAsia="仿宋_GB2312;仿宋"/>
          <w:sz w:val="28"/>
          <w:szCs w:val="28"/>
        </w:rPr>
        <w:t>xxx</w:t>
      </w:r>
      <w:r>
        <w:rPr>
          <w:rFonts w:eastAsia="仿宋_GB2312;仿宋"/>
          <w:sz w:val="28"/>
          <w:szCs w:val="28"/>
        </w:rPr>
        <w:t>银行（以下简称“本行”）监管统计数据质量管理，强化监管统计数据质量问题追责，规范统计工作行为，确保各类统计工作及时、全面、准确地开展，根据《中国银监会关于进一步提高数据质量做好非现场监管工作的通知》（银监通〔</w:t>
      </w:r>
      <w:r>
        <w:rPr>
          <w:rFonts w:eastAsia="仿宋_GB2312;仿宋"/>
          <w:sz w:val="28"/>
          <w:szCs w:val="28"/>
        </w:rPr>
        <w:t>2008</w:t>
      </w:r>
      <w:r>
        <w:rPr>
          <w:rFonts w:eastAsia="仿宋_GB2312;仿宋"/>
          <w:sz w:val="28"/>
          <w:szCs w:val="28"/>
        </w:rPr>
        <w:t>〕</w:t>
      </w:r>
      <w:r>
        <w:rPr>
          <w:rFonts w:eastAsia="仿宋_GB2312;仿宋"/>
          <w:sz w:val="28"/>
          <w:szCs w:val="28"/>
        </w:rPr>
        <w:t>10</w:t>
      </w:r>
      <w:r>
        <w:rPr>
          <w:rFonts w:eastAsia="仿宋_GB2312;仿宋"/>
          <w:sz w:val="28"/>
          <w:szCs w:val="28"/>
        </w:rPr>
        <w:t>号）、《中国银监会江苏监管局办公室关于印发监管统计数据质量问题追责细则的通知》（苏银监办〔</w:t>
      </w:r>
      <w:r>
        <w:rPr>
          <w:rFonts w:eastAsia="仿宋_GB2312;仿宋"/>
          <w:sz w:val="28"/>
          <w:szCs w:val="28"/>
        </w:rPr>
        <w:t>2016</w:t>
      </w:r>
      <w:r>
        <w:rPr>
          <w:rFonts w:eastAsia="仿宋_GB2312;仿宋"/>
          <w:sz w:val="28"/>
          <w:szCs w:val="28"/>
        </w:rPr>
        <w:t>〕</w:t>
      </w:r>
      <w:r>
        <w:rPr>
          <w:rFonts w:eastAsia="仿宋_GB2312;仿宋"/>
          <w:sz w:val="28"/>
          <w:szCs w:val="28"/>
        </w:rPr>
        <w:t>207</w:t>
      </w:r>
      <w:r>
        <w:rPr>
          <w:rFonts w:eastAsia="仿宋_GB2312;仿宋"/>
          <w:sz w:val="28"/>
          <w:szCs w:val="28"/>
        </w:rPr>
        <w:t>号）等相关要求，结合《</w:t>
      </w:r>
      <w:r>
        <w:rPr>
          <w:rFonts w:eastAsia="仿宋_GB2312;仿宋"/>
          <w:sz w:val="28"/>
          <w:szCs w:val="28"/>
        </w:rPr>
        <w:t>xxx</w:t>
      </w:r>
      <w:r>
        <w:rPr>
          <w:rFonts w:eastAsia="仿宋_GB2312;仿宋"/>
          <w:sz w:val="28"/>
          <w:szCs w:val="28"/>
        </w:rPr>
        <w:t>银行员工违规行为处理办法》（</w:t>
      </w:r>
      <w:r>
        <w:rPr>
          <w:rFonts w:eastAsia="仿宋_GB2312;仿宋"/>
          <w:sz w:val="28"/>
          <w:szCs w:val="28"/>
        </w:rPr>
        <w:t>xxx</w:t>
      </w:r>
      <w:r>
        <w:rPr>
          <w:rFonts w:eastAsia="仿宋_GB2312;仿宋"/>
          <w:sz w:val="28"/>
          <w:szCs w:val="28"/>
        </w:rPr>
        <w:t>银行行发〔</w:t>
      </w:r>
      <w:r>
        <w:rPr>
          <w:rFonts w:eastAsia="仿宋_GB2312;仿宋"/>
          <w:sz w:val="28"/>
          <w:szCs w:val="28"/>
        </w:rPr>
        <w:t>2015</w:t>
      </w:r>
      <w:r>
        <w:rPr>
          <w:rFonts w:eastAsia="仿宋_GB2312;仿宋"/>
          <w:sz w:val="28"/>
          <w:szCs w:val="28"/>
        </w:rPr>
        <w:t>〕</w:t>
      </w:r>
      <w:r>
        <w:rPr>
          <w:rFonts w:eastAsia="仿宋_GB2312;仿宋"/>
          <w:sz w:val="28"/>
          <w:szCs w:val="28"/>
        </w:rPr>
        <w:t>93</w:t>
      </w:r>
      <w:r>
        <w:rPr>
          <w:rFonts w:eastAsia="仿宋_GB2312;仿宋"/>
          <w:sz w:val="28"/>
          <w:szCs w:val="28"/>
        </w:rPr>
        <w:t>号），制定本办法。</w:t>
      </w:r>
    </w:p>
    <w:p>
      <w:pPr>
        <w:pStyle w:val="Normal"/>
        <w:spacing w:lineRule="auto" w:line="360"/>
        <w:ind w:firstLine="560" w:right="0"/>
        <w:rPr>
          <w:sz w:val="28"/>
          <w:szCs w:val="28"/>
        </w:rPr>
      </w:pPr>
      <w:r>
        <w:rPr>
          <w:rFonts w:eastAsia="仿宋_GB2312;仿宋"/>
          <w:sz w:val="28"/>
          <w:szCs w:val="28"/>
        </w:rPr>
        <w:t>第二条</w:t>
      </w:r>
      <w:r>
        <w:rPr>
          <w:rFonts w:eastAsia="Times New Roman"/>
          <w:sz w:val="28"/>
          <w:szCs w:val="28"/>
        </w:rPr>
        <w:t xml:space="preserve">  </w:t>
      </w:r>
      <w:r>
        <w:rPr>
          <w:rFonts w:eastAsia="仿宋_GB2312;仿宋"/>
          <w:sz w:val="28"/>
          <w:szCs w:val="28"/>
        </w:rPr>
        <w:t>监管统计数据质量问题追责遵循客观、公平、公正的原则。</w:t>
      </w:r>
    </w:p>
    <w:p>
      <w:pPr>
        <w:pStyle w:val="Normal"/>
        <w:spacing w:lineRule="auto" w:line="360"/>
        <w:ind w:firstLine="560" w:right="0"/>
        <w:rPr>
          <w:sz w:val="28"/>
          <w:szCs w:val="28"/>
        </w:rPr>
      </w:pPr>
      <w:r>
        <w:rPr>
          <w:rFonts w:eastAsia="仿宋_GB2312;仿宋"/>
          <w:sz w:val="28"/>
          <w:szCs w:val="28"/>
        </w:rPr>
        <w:t>第三条</w:t>
      </w:r>
      <w:r>
        <w:rPr>
          <w:rFonts w:eastAsia="Times New Roman"/>
          <w:sz w:val="28"/>
          <w:szCs w:val="28"/>
        </w:rPr>
        <w:t xml:space="preserve">  </w:t>
      </w:r>
      <w:r>
        <w:rPr>
          <w:rFonts w:eastAsia="仿宋_GB2312;仿宋"/>
          <w:sz w:val="28"/>
          <w:szCs w:val="28"/>
        </w:rPr>
        <w:t>本办法适用于本行各支行、部，机关各部室及中心（以下简称“单位”）。</w:t>
      </w:r>
    </w:p>
    <w:p>
      <w:pPr>
        <w:pStyle w:val="Normal"/>
        <w:spacing w:lineRule="auto" w:line="360"/>
        <w:ind w:firstLine="560" w:right="0"/>
        <w:rPr>
          <w:rFonts w:eastAsia="仿宋_GB2312;仿宋"/>
          <w:b/>
          <w:sz w:val="30"/>
          <w:szCs w:val="30"/>
        </w:rPr>
      </w:pPr>
      <w:r>
        <w:rPr>
          <w:rFonts w:eastAsia="仿宋_GB2312;仿宋"/>
          <w:sz w:val="28"/>
          <w:szCs w:val="28"/>
        </w:rPr>
        <w:t>第四条</w:t>
      </w:r>
      <w:r>
        <w:rPr>
          <w:rFonts w:eastAsia="Times New Roman"/>
          <w:sz w:val="28"/>
          <w:szCs w:val="28"/>
        </w:rPr>
        <w:t xml:space="preserve">  </w:t>
      </w:r>
      <w:r>
        <w:rPr>
          <w:rFonts w:eastAsia="仿宋_GB2312;仿宋"/>
          <w:sz w:val="28"/>
          <w:szCs w:val="28"/>
        </w:rPr>
        <w:t>本行监管统计归口管理部门是制定、执行监管统计数据质量问题追责细则的主管部门，各支行、部，机关各部室及中心可参照本办法组织本单位进行监管统计数据质量问题追责工作。</w:t>
      </w:r>
    </w:p>
    <w:p>
      <w:pPr>
        <w:pStyle w:val="Normal"/>
        <w:spacing w:lineRule="auto" w:line="360" w:before="156" w:after="0"/>
        <w:jc w:val="center"/>
        <w:rPr>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追责内容</w:t>
      </w:r>
    </w:p>
    <w:p>
      <w:pPr>
        <w:pStyle w:val="Normal"/>
        <w:spacing w:lineRule="auto" w:line="360"/>
        <w:ind w:firstLine="560" w:right="0"/>
        <w:rPr>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数据质量问题分类</w:t>
      </w:r>
    </w:p>
    <w:p>
      <w:pPr>
        <w:pStyle w:val="Normal"/>
        <w:spacing w:lineRule="auto" w:line="360"/>
        <w:ind w:firstLine="560" w:right="0"/>
        <w:rPr>
          <w:rFonts w:eastAsia="仿宋_GB2312;仿宋"/>
          <w:sz w:val="28"/>
          <w:szCs w:val="28"/>
        </w:rPr>
      </w:pPr>
      <w:r>
        <w:rPr>
          <w:rFonts w:eastAsia="仿宋_GB2312;仿宋"/>
          <w:sz w:val="28"/>
          <w:szCs w:val="28"/>
        </w:rPr>
        <w:t>数据质量问题按照其形成原因分为迟报、漏报、错报、提供虚假的或隐瞒重要事实数据等情况；按照其影响程度分为一般、重大和严重三类，分别记</w:t>
      </w:r>
      <w:r>
        <w:rPr>
          <w:rFonts w:eastAsia="仿宋_GB2312;仿宋"/>
          <w:sz w:val="28"/>
          <w:szCs w:val="28"/>
        </w:rPr>
        <w:t>1</w:t>
      </w:r>
      <w:r>
        <w:rPr>
          <w:rFonts w:eastAsia="仿宋_GB2312;仿宋"/>
          <w:sz w:val="28"/>
          <w:szCs w:val="28"/>
        </w:rPr>
        <w:t>分、</w:t>
      </w:r>
      <w:r>
        <w:rPr>
          <w:rFonts w:eastAsia="仿宋_GB2312;仿宋"/>
          <w:sz w:val="28"/>
          <w:szCs w:val="28"/>
        </w:rPr>
        <w:t>3</w:t>
      </w:r>
      <w:r>
        <w:rPr>
          <w:rFonts w:eastAsia="仿宋_GB2312;仿宋"/>
          <w:sz w:val="28"/>
          <w:szCs w:val="28"/>
        </w:rPr>
        <w:t>分、</w:t>
      </w:r>
      <w:r>
        <w:rPr>
          <w:rFonts w:eastAsia="仿宋_GB2312;仿宋"/>
          <w:sz w:val="28"/>
          <w:szCs w:val="28"/>
        </w:rPr>
        <w:t>5</w:t>
      </w:r>
      <w:r>
        <w:rPr>
          <w:rFonts w:eastAsia="仿宋_GB2312;仿宋"/>
          <w:sz w:val="28"/>
          <w:szCs w:val="28"/>
        </w:rPr>
        <w:t>分。</w:t>
      </w:r>
    </w:p>
    <w:p>
      <w:pPr>
        <w:pStyle w:val="Normal"/>
        <w:spacing w:lineRule="auto" w:line="360"/>
        <w:ind w:firstLine="560" w:right="0"/>
        <w:rPr>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数据迟报及程度认定。</w:t>
      </w:r>
    </w:p>
    <w:p>
      <w:pPr>
        <w:pStyle w:val="Normal"/>
        <w:spacing w:lineRule="auto" w:line="360"/>
        <w:ind w:firstLine="560" w:right="0"/>
        <w:rPr>
          <w:rFonts w:eastAsia="仿宋_GB2312;仿宋"/>
          <w:sz w:val="28"/>
          <w:szCs w:val="28"/>
        </w:rPr>
      </w:pPr>
      <w:r>
        <w:rPr>
          <w:rFonts w:eastAsia="仿宋_GB2312;仿宋"/>
          <w:sz w:val="28"/>
          <w:szCs w:val="28"/>
        </w:rPr>
        <w:t>迟报指各单位在上报总行报表报送截止时仍存在报表未报送的情况。对外报表上报时因未能通过系统校验被自动退回且未能在报送截止前完成重报，或因数据问题被监管人员退回后未能在审核截止前完成重报，均视同迟报。</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以下迟报情况为一般数据质量问题：首次出现迟报但在较短时间内完成补报；对外报送报表中，非现场监管统计报表在报送截止日后</w:t>
      </w:r>
      <w:r>
        <w:rPr>
          <w:rFonts w:eastAsia="仿宋_GB2312;仿宋"/>
          <w:sz w:val="28"/>
          <w:szCs w:val="28"/>
        </w:rPr>
        <w:t>1</w:t>
      </w:r>
      <w:r>
        <w:rPr>
          <w:rFonts w:eastAsia="仿宋_GB2312;仿宋"/>
          <w:sz w:val="28"/>
          <w:szCs w:val="28"/>
        </w:rPr>
        <w:t>个工作日内完成补报；客户风险统计报表在报送截止时点后</w:t>
      </w:r>
      <w:r>
        <w:rPr>
          <w:rFonts w:eastAsia="仿宋_GB2312;仿宋"/>
          <w:sz w:val="28"/>
          <w:szCs w:val="28"/>
        </w:rPr>
        <w:t>3</w:t>
      </w:r>
      <w:r>
        <w:rPr>
          <w:rFonts w:eastAsia="仿宋_GB2312;仿宋"/>
          <w:sz w:val="28"/>
          <w:szCs w:val="28"/>
        </w:rPr>
        <w:t>个小时内完成补报。</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以下迟报情况为重大数据质量问题：报送总行报表</w:t>
      </w:r>
      <w:r>
        <w:rPr>
          <w:rFonts w:eastAsia="仿宋_GB2312;仿宋"/>
          <w:sz w:val="28"/>
          <w:szCs w:val="28"/>
        </w:rPr>
        <w:t>12</w:t>
      </w:r>
      <w:r>
        <w:rPr>
          <w:rFonts w:eastAsia="仿宋_GB2312;仿宋"/>
          <w:sz w:val="28"/>
          <w:szCs w:val="28"/>
        </w:rPr>
        <w:t>个月内发生</w:t>
      </w:r>
      <w:r>
        <w:rPr>
          <w:rFonts w:eastAsia="仿宋_GB2312;仿宋"/>
          <w:sz w:val="28"/>
          <w:szCs w:val="28"/>
        </w:rPr>
        <w:t>3</w:t>
      </w:r>
      <w:r>
        <w:rPr>
          <w:rFonts w:eastAsia="仿宋_GB2312;仿宋"/>
          <w:sz w:val="28"/>
          <w:szCs w:val="28"/>
        </w:rPr>
        <w:t>次（含）以上迟报；对外报送报表连续</w:t>
      </w:r>
      <w:r>
        <w:rPr>
          <w:rFonts w:eastAsia="仿宋_GB2312;仿宋"/>
          <w:sz w:val="28"/>
          <w:szCs w:val="28"/>
        </w:rPr>
        <w:t>12</w:t>
      </w:r>
      <w:r>
        <w:rPr>
          <w:rFonts w:eastAsia="仿宋_GB2312;仿宋"/>
          <w:sz w:val="28"/>
          <w:szCs w:val="28"/>
        </w:rPr>
        <w:t>个月内不同批次报表累计出现</w:t>
      </w:r>
      <w:r>
        <w:rPr>
          <w:rFonts w:eastAsia="仿宋_GB2312;仿宋"/>
          <w:sz w:val="28"/>
          <w:szCs w:val="28"/>
        </w:rPr>
        <w:t>2</w:t>
      </w:r>
      <w:r>
        <w:rPr>
          <w:rFonts w:eastAsia="仿宋_GB2312;仿宋"/>
          <w:sz w:val="28"/>
          <w:szCs w:val="28"/>
        </w:rPr>
        <w:t>次（含）以上迟报；迟报后长时间未完成补报，其中非现场监管统计报表未能在报送截止日后</w:t>
      </w:r>
      <w:r>
        <w:rPr>
          <w:rFonts w:eastAsia="仿宋_GB2312;仿宋"/>
          <w:sz w:val="28"/>
          <w:szCs w:val="28"/>
        </w:rPr>
        <w:t>1</w:t>
      </w:r>
      <w:r>
        <w:rPr>
          <w:rFonts w:eastAsia="仿宋_GB2312;仿宋"/>
          <w:sz w:val="28"/>
          <w:szCs w:val="28"/>
        </w:rPr>
        <w:t>个工作日内完成补报，客户风险统计报表未能在报送截止时点后</w:t>
      </w:r>
      <w:r>
        <w:rPr>
          <w:rFonts w:eastAsia="仿宋_GB2312;仿宋"/>
          <w:sz w:val="28"/>
          <w:szCs w:val="28"/>
        </w:rPr>
        <w:t>3</w:t>
      </w:r>
      <w:r>
        <w:rPr>
          <w:rFonts w:eastAsia="仿宋_GB2312;仿宋"/>
          <w:sz w:val="28"/>
          <w:szCs w:val="28"/>
        </w:rPr>
        <w:t>个小时内完成补报。</w:t>
      </w:r>
    </w:p>
    <w:p>
      <w:pPr>
        <w:pStyle w:val="Normal"/>
        <w:spacing w:lineRule="auto" w:line="360"/>
        <w:ind w:firstLine="560" w:right="0"/>
        <w:rPr/>
      </w:pPr>
      <w:r>
        <w:rPr>
          <w:rFonts w:eastAsia="仿宋_GB2312;仿宋"/>
          <w:sz w:val="28"/>
          <w:szCs w:val="28"/>
        </w:rPr>
        <w:t>第七条</w:t>
      </w:r>
      <w:r>
        <w:rPr>
          <w:rFonts w:eastAsia="Times New Roman"/>
          <w:sz w:val="28"/>
          <w:szCs w:val="28"/>
        </w:rPr>
        <w:t xml:space="preserve"> </w:t>
      </w:r>
      <w:r>
        <w:rPr>
          <w:rFonts w:eastAsia="Times New Roman"/>
          <w:sz w:val="28"/>
          <w:szCs w:val="28"/>
        </w:rPr>
        <w:t xml:space="preserve"> </w:t>
      </w:r>
      <w:r>
        <w:rPr>
          <w:rFonts w:eastAsia="仿宋_GB2312;仿宋"/>
          <w:sz w:val="28"/>
          <w:szCs w:val="28"/>
        </w:rPr>
        <w:t>数据漏报及程度认定。</w:t>
      </w:r>
    </w:p>
    <w:p>
      <w:pPr>
        <w:pStyle w:val="Normal"/>
        <w:spacing w:lineRule="auto" w:line="360"/>
        <w:ind w:firstLine="560" w:right="0"/>
        <w:rPr>
          <w:rFonts w:eastAsia="仿宋_GB2312;仿宋"/>
          <w:sz w:val="28"/>
          <w:szCs w:val="28"/>
        </w:rPr>
      </w:pPr>
      <w:r>
        <w:rPr>
          <w:rFonts w:eastAsia="仿宋_GB2312;仿宋"/>
          <w:sz w:val="28"/>
          <w:szCs w:val="28"/>
        </w:rPr>
        <w:t>漏报指各单位在报送截止时已完成报表报送，但上报报表中出现全部或部分应填数据项缺失的情况。</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以下漏报情况为一般数据质量问题：上报总行的报表中，漏报</w:t>
      </w:r>
      <w:r>
        <w:rPr>
          <w:rFonts w:eastAsia="仿宋_GB2312;仿宋"/>
          <w:sz w:val="28"/>
          <w:szCs w:val="28"/>
        </w:rPr>
        <w:t>3</w:t>
      </w:r>
      <w:r>
        <w:rPr>
          <w:rFonts w:eastAsia="仿宋_GB2312;仿宋"/>
          <w:sz w:val="28"/>
          <w:szCs w:val="28"/>
        </w:rPr>
        <w:t>条（含）以下信息点；对于非现场监管统计报表，同一批次报表出现</w:t>
      </w:r>
      <w:r>
        <w:rPr>
          <w:rFonts w:eastAsia="仿宋_GB2312;仿宋"/>
          <w:sz w:val="28"/>
          <w:szCs w:val="28"/>
        </w:rPr>
        <w:t>2</w:t>
      </w:r>
      <w:r>
        <w:rPr>
          <w:rFonts w:eastAsia="仿宋_GB2312;仿宋"/>
          <w:sz w:val="28"/>
          <w:szCs w:val="28"/>
        </w:rPr>
        <w:t>张（含）以内报表部分数据项缺失；对于客户风险统计报表，同一批次报表出现</w:t>
      </w:r>
      <w:r>
        <w:rPr>
          <w:rFonts w:eastAsia="仿宋_GB2312;仿宋"/>
          <w:sz w:val="28"/>
          <w:szCs w:val="28"/>
        </w:rPr>
        <w:t>1</w:t>
      </w:r>
      <w:r>
        <w:rPr>
          <w:rFonts w:eastAsia="仿宋_GB2312;仿宋"/>
          <w:sz w:val="28"/>
          <w:szCs w:val="28"/>
        </w:rPr>
        <w:t>张报表数据记录（指按照该张报表填报要求，逐条进行报送的单条完整数据记录，下同）缺失，但缺失记录数未超过应报送记录数的</w:t>
      </w:r>
      <w:r>
        <w:rPr>
          <w:rFonts w:eastAsia="仿宋_GB2312;仿宋"/>
          <w:sz w:val="28"/>
          <w:szCs w:val="28"/>
        </w:rPr>
        <w:t>5%</w:t>
      </w:r>
      <w:r>
        <w:rPr>
          <w:rFonts w:eastAsia="仿宋_GB2312;仿宋"/>
          <w:sz w:val="28"/>
          <w:szCs w:val="28"/>
        </w:rPr>
        <w:t>。</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以下漏报情况为重大数据质量问题：上报总行的报表中，漏报</w:t>
      </w:r>
      <w:r>
        <w:rPr>
          <w:rFonts w:eastAsia="仿宋_GB2312;仿宋"/>
          <w:sz w:val="28"/>
          <w:szCs w:val="28"/>
        </w:rPr>
        <w:t>3</w:t>
      </w:r>
      <w:r>
        <w:rPr>
          <w:rFonts w:eastAsia="仿宋_GB2312;仿宋"/>
          <w:sz w:val="28"/>
          <w:szCs w:val="28"/>
        </w:rPr>
        <w:t>条（含）以上信息点；对外报送报表中，连续</w:t>
      </w:r>
      <w:r>
        <w:rPr>
          <w:rFonts w:eastAsia="仿宋_GB2312;仿宋"/>
          <w:sz w:val="28"/>
          <w:szCs w:val="28"/>
        </w:rPr>
        <w:t>12</w:t>
      </w:r>
      <w:r>
        <w:rPr>
          <w:rFonts w:eastAsia="仿宋_GB2312;仿宋"/>
          <w:sz w:val="28"/>
          <w:szCs w:val="28"/>
        </w:rPr>
        <w:t>个月内不同批次报表累计出现</w:t>
      </w:r>
      <w:r>
        <w:rPr>
          <w:rFonts w:eastAsia="仿宋_GB2312;仿宋"/>
          <w:sz w:val="28"/>
          <w:szCs w:val="28"/>
        </w:rPr>
        <w:t>2</w:t>
      </w:r>
      <w:r>
        <w:rPr>
          <w:rFonts w:eastAsia="仿宋_GB2312;仿宋"/>
          <w:sz w:val="28"/>
          <w:szCs w:val="28"/>
        </w:rPr>
        <w:t>次（含）以上漏报，同一批次报表出现</w:t>
      </w:r>
      <w:r>
        <w:rPr>
          <w:rFonts w:eastAsia="仿宋_GB2312;仿宋"/>
          <w:sz w:val="28"/>
          <w:szCs w:val="28"/>
        </w:rPr>
        <w:t>1</w:t>
      </w:r>
      <w:r>
        <w:rPr>
          <w:rFonts w:eastAsia="仿宋_GB2312;仿宋"/>
          <w:sz w:val="28"/>
          <w:szCs w:val="28"/>
        </w:rPr>
        <w:t>张或以上报表全部数据项缺失（即空表）；对于非现场监管统计报表，同一批次报表出现</w:t>
      </w:r>
      <w:r>
        <w:rPr>
          <w:rFonts w:eastAsia="仿宋_GB2312;仿宋"/>
          <w:sz w:val="28"/>
          <w:szCs w:val="28"/>
        </w:rPr>
        <w:t>3</w:t>
      </w:r>
      <w:r>
        <w:rPr>
          <w:rFonts w:eastAsia="仿宋_GB2312;仿宋"/>
          <w:sz w:val="28"/>
          <w:szCs w:val="28"/>
        </w:rPr>
        <w:t>张（含）以上报表部分数据项缺失；对于客户风险统计报表，同一批次报表出现</w:t>
      </w:r>
      <w:r>
        <w:rPr>
          <w:rFonts w:eastAsia="仿宋_GB2312;仿宋"/>
          <w:sz w:val="28"/>
          <w:szCs w:val="28"/>
        </w:rPr>
        <w:t>2</w:t>
      </w:r>
      <w:r>
        <w:rPr>
          <w:rFonts w:eastAsia="仿宋_GB2312;仿宋"/>
          <w:sz w:val="28"/>
          <w:szCs w:val="28"/>
        </w:rPr>
        <w:t>张（含）以上报表数据记录缺失，或单张报表缺失记录数超过应报送记录数的</w:t>
      </w:r>
      <w:r>
        <w:rPr>
          <w:rFonts w:eastAsia="仿宋_GB2312;仿宋"/>
          <w:sz w:val="28"/>
          <w:szCs w:val="28"/>
        </w:rPr>
        <w:t>5%</w:t>
      </w:r>
      <w:r>
        <w:rPr>
          <w:rFonts w:eastAsia="仿宋_GB2312;仿宋"/>
          <w:sz w:val="28"/>
          <w:szCs w:val="28"/>
        </w:rPr>
        <w:t>。</w:t>
      </w:r>
    </w:p>
    <w:p>
      <w:pPr>
        <w:pStyle w:val="Normal"/>
        <w:spacing w:lineRule="auto" w:line="360"/>
        <w:ind w:firstLine="560" w:right="0"/>
        <w:rPr>
          <w:sz w:val="28"/>
          <w:szCs w:val="28"/>
        </w:rPr>
      </w:pPr>
      <w:r>
        <w:rPr>
          <w:rFonts w:eastAsia="仿宋_GB2312;仿宋"/>
          <w:sz w:val="28"/>
          <w:szCs w:val="28"/>
        </w:rPr>
        <w:t>第八条</w:t>
      </w:r>
      <w:r>
        <w:rPr>
          <w:rFonts w:eastAsia="Times New Roman"/>
          <w:sz w:val="28"/>
          <w:szCs w:val="28"/>
        </w:rPr>
        <w:t xml:space="preserve">  </w:t>
      </w:r>
      <w:r>
        <w:rPr>
          <w:rFonts w:eastAsia="仿宋_GB2312;仿宋"/>
          <w:sz w:val="28"/>
          <w:szCs w:val="28"/>
        </w:rPr>
        <w:t>数据错报及程度认定。</w:t>
      </w:r>
    </w:p>
    <w:p>
      <w:pPr>
        <w:pStyle w:val="Normal"/>
        <w:spacing w:lineRule="auto" w:line="360"/>
        <w:ind w:firstLine="560" w:right="0"/>
        <w:rPr>
          <w:rFonts w:eastAsia="仿宋_GB2312;仿宋"/>
          <w:sz w:val="28"/>
          <w:szCs w:val="28"/>
        </w:rPr>
      </w:pPr>
      <w:r>
        <w:rPr>
          <w:rFonts w:eastAsia="仿宋_GB2312;仿宋"/>
          <w:sz w:val="28"/>
          <w:szCs w:val="28"/>
        </w:rPr>
        <w:t>错报指各单位上报总行的报表数据出现不符合报送要求的错误信息；对外报送报表未能通过监管机构已明确的表内、表间校验关系或因对统计制度填报口径理解错误、人为操作失误、信息系统错误等原因导致的报表数据与实际不符的情况。</w:t>
      </w:r>
    </w:p>
    <w:p>
      <w:pPr>
        <w:pStyle w:val="Normal"/>
        <w:spacing w:lineRule="auto" w:line="360"/>
        <w:ind w:firstLine="560" w:right="0"/>
        <w:rPr/>
      </w:pPr>
      <w:r>
        <w:rPr>
          <w:rFonts w:eastAsia="仿宋_GB2312;仿宋"/>
          <w:sz w:val="28"/>
          <w:szCs w:val="28"/>
        </w:rPr>
        <w:t>1.</w:t>
      </w:r>
      <w:r>
        <w:rPr>
          <w:rFonts w:eastAsia="仿宋_GB2312;仿宋"/>
          <w:sz w:val="28"/>
          <w:szCs w:val="28"/>
        </w:rPr>
        <w:t>以下错报情况为一般数据质量问题：上报总行的报表中，错报</w:t>
      </w:r>
      <w:r>
        <w:rPr>
          <w:rFonts w:eastAsia="仿宋_GB2312;仿宋"/>
          <w:sz w:val="28"/>
          <w:szCs w:val="28"/>
        </w:rPr>
        <w:t>3</w:t>
      </w:r>
      <w:r>
        <w:rPr>
          <w:rFonts w:eastAsia="仿宋_GB2312;仿宋"/>
          <w:sz w:val="28"/>
          <w:szCs w:val="28"/>
        </w:rPr>
        <w:t>条（含）以下信息点且数据差错金额较小；对外报送报表数据差错金额较小，不对单家机构风险判断或辖区银行业整体风险判断产生实质性影响，且不包括后两款所列特定情况。数据差错被</w:t>
      </w:r>
      <w:r>
        <w:rPr>
          <w:rFonts w:eastAsia="仿宋_GB2312;仿宋"/>
          <w:sz w:val="28"/>
          <w:szCs w:val="28"/>
        </w:rPr>
        <w:t>yy</w:t>
      </w:r>
      <w:r>
        <w:rPr>
          <w:rFonts w:eastAsia="仿宋_GB2312;仿宋"/>
          <w:sz w:val="28"/>
          <w:szCs w:val="28"/>
        </w:rPr>
        <w:t>银监分局通报批评。</w:t>
      </w:r>
    </w:p>
    <w:p>
      <w:pPr>
        <w:pStyle w:val="Normal"/>
        <w:spacing w:lineRule="auto" w:line="360"/>
        <w:ind w:firstLine="560" w:right="0"/>
        <w:rPr/>
      </w:pPr>
      <w:r>
        <w:rPr>
          <w:rFonts w:eastAsia="仿宋_GB2312;仿宋"/>
          <w:sz w:val="28"/>
          <w:szCs w:val="28"/>
        </w:rPr>
        <w:t>2.</w:t>
      </w:r>
      <w:r>
        <w:rPr>
          <w:rFonts w:eastAsia="仿宋_GB2312;仿宋"/>
          <w:sz w:val="28"/>
          <w:szCs w:val="28"/>
        </w:rPr>
        <w:t>以下错报情况为重大数据质量问题：上报总行的报表中，错报</w:t>
      </w:r>
      <w:r>
        <w:rPr>
          <w:rFonts w:eastAsia="仿宋_GB2312;仿宋"/>
          <w:sz w:val="28"/>
          <w:szCs w:val="28"/>
        </w:rPr>
        <w:t>3</w:t>
      </w:r>
      <w:r>
        <w:rPr>
          <w:rFonts w:eastAsia="仿宋_GB2312;仿宋"/>
          <w:sz w:val="28"/>
          <w:szCs w:val="28"/>
        </w:rPr>
        <w:t>条（含）以上</w:t>
      </w:r>
      <w:r>
        <w:rPr>
          <w:rFonts w:eastAsia="仿宋_GB2312;仿宋"/>
          <w:sz w:val="28"/>
          <w:szCs w:val="28"/>
        </w:rPr>
        <w:t>10</w:t>
      </w:r>
      <w:r>
        <w:rPr>
          <w:rFonts w:eastAsia="仿宋_GB2312;仿宋"/>
          <w:sz w:val="28"/>
          <w:szCs w:val="28"/>
        </w:rPr>
        <w:t>条（含）以下信息点或数据差错金额对总行数据造成重大影响；对外报送报表数据差错金额较大，改变单家机构对应指标变动趋势方向，同一报表连续</w:t>
      </w:r>
      <w:r>
        <w:rPr>
          <w:rFonts w:eastAsia="仿宋_GB2312;仿宋"/>
          <w:sz w:val="28"/>
          <w:szCs w:val="28"/>
        </w:rPr>
        <w:t>12</w:t>
      </w:r>
      <w:r>
        <w:rPr>
          <w:rFonts w:eastAsia="仿宋_GB2312;仿宋"/>
          <w:sz w:val="28"/>
          <w:szCs w:val="28"/>
        </w:rPr>
        <w:t>个月内出现</w:t>
      </w:r>
      <w:r>
        <w:rPr>
          <w:rFonts w:eastAsia="仿宋_GB2312;仿宋"/>
          <w:sz w:val="28"/>
          <w:szCs w:val="28"/>
        </w:rPr>
        <w:t>2</w:t>
      </w:r>
      <w:r>
        <w:rPr>
          <w:rFonts w:eastAsia="仿宋_GB2312;仿宋"/>
          <w:sz w:val="28"/>
          <w:szCs w:val="28"/>
        </w:rPr>
        <w:t>次错报、同一批次出现</w:t>
      </w:r>
      <w:r>
        <w:rPr>
          <w:rFonts w:eastAsia="仿宋_GB2312;仿宋"/>
          <w:sz w:val="28"/>
          <w:szCs w:val="28"/>
        </w:rPr>
        <w:t>3</w:t>
      </w:r>
      <w:r>
        <w:rPr>
          <w:rFonts w:eastAsia="仿宋_GB2312;仿宋"/>
          <w:sz w:val="28"/>
          <w:szCs w:val="28"/>
        </w:rPr>
        <w:t>张报表错报或连续</w:t>
      </w:r>
      <w:r>
        <w:rPr>
          <w:rFonts w:eastAsia="仿宋_GB2312;仿宋"/>
          <w:sz w:val="28"/>
          <w:szCs w:val="28"/>
        </w:rPr>
        <w:t>12</w:t>
      </w:r>
      <w:r>
        <w:rPr>
          <w:rFonts w:eastAsia="仿宋_GB2312;仿宋"/>
          <w:sz w:val="28"/>
          <w:szCs w:val="28"/>
        </w:rPr>
        <w:t>个月内累计出现</w:t>
      </w:r>
      <w:r>
        <w:rPr>
          <w:rFonts w:eastAsia="仿宋_GB2312;仿宋"/>
          <w:sz w:val="28"/>
          <w:szCs w:val="28"/>
        </w:rPr>
        <w:t>6</w:t>
      </w:r>
      <w:r>
        <w:rPr>
          <w:rFonts w:eastAsia="仿宋_GB2312;仿宋"/>
          <w:sz w:val="28"/>
          <w:szCs w:val="28"/>
        </w:rPr>
        <w:t>张报表错报，数据单位错误，数据扩大或缩小相应倍数，将历史批次数据当作当期批次数据报送，报表项目数据串行；</w:t>
      </w:r>
      <w:r>
        <w:rPr>
          <w:rFonts w:eastAsia="仿宋_GB2312;仿宋"/>
          <w:sz w:val="28"/>
          <w:szCs w:val="28"/>
        </w:rPr>
        <w:t>yy</w:t>
      </w:r>
      <w:r>
        <w:rPr>
          <w:rFonts w:eastAsia="仿宋_GB2312;仿宋"/>
          <w:sz w:val="28"/>
          <w:szCs w:val="28"/>
        </w:rPr>
        <w:t>银监分局监管统计关键指标数据质量承诺制度中所列非现场监管统计和客户风险统计关键指标连续</w:t>
      </w:r>
      <w:r>
        <w:rPr>
          <w:rFonts w:eastAsia="仿宋_GB2312;仿宋"/>
          <w:sz w:val="28"/>
          <w:szCs w:val="28"/>
        </w:rPr>
        <w:t>12</w:t>
      </w:r>
      <w:r>
        <w:rPr>
          <w:rFonts w:eastAsia="仿宋_GB2312;仿宋"/>
          <w:sz w:val="28"/>
          <w:szCs w:val="28"/>
        </w:rPr>
        <w:t>个月内合计出现</w:t>
      </w:r>
      <w:r>
        <w:rPr>
          <w:rFonts w:eastAsia="仿宋_GB2312;仿宋"/>
          <w:sz w:val="28"/>
          <w:szCs w:val="28"/>
        </w:rPr>
        <w:t>1</w:t>
      </w:r>
      <w:r>
        <w:rPr>
          <w:rFonts w:eastAsia="仿宋_GB2312;仿宋"/>
          <w:sz w:val="28"/>
          <w:szCs w:val="28"/>
        </w:rPr>
        <w:t>次（含）以上错报。</w:t>
      </w:r>
    </w:p>
    <w:p>
      <w:pPr>
        <w:pStyle w:val="Normal"/>
        <w:spacing w:lineRule="auto" w:line="360"/>
        <w:ind w:firstLine="560" w:right="0"/>
        <w:rPr/>
      </w:pPr>
      <w:r>
        <w:rPr>
          <w:rFonts w:eastAsia="仿宋_GB2312;仿宋"/>
          <w:sz w:val="28"/>
          <w:szCs w:val="28"/>
        </w:rPr>
        <w:t>3.</w:t>
      </w:r>
      <w:r>
        <w:rPr>
          <w:rFonts w:eastAsia="仿宋_GB2312;仿宋"/>
          <w:sz w:val="28"/>
          <w:szCs w:val="28"/>
        </w:rPr>
        <w:t>以下错报情况为严重数据质量问题：上报总行的报表中，错报</w:t>
      </w:r>
      <w:r>
        <w:rPr>
          <w:rFonts w:eastAsia="仿宋_GB2312;仿宋"/>
          <w:sz w:val="28"/>
          <w:szCs w:val="28"/>
        </w:rPr>
        <w:t>10</w:t>
      </w:r>
      <w:r>
        <w:rPr>
          <w:rFonts w:eastAsia="仿宋_GB2312;仿宋"/>
          <w:sz w:val="28"/>
          <w:szCs w:val="28"/>
        </w:rPr>
        <w:t>条（含）以上信息点或数据差错金额对总行数据造成严重影响；对外报送报表数据差错金额巨大，改变对应指标辖区汇总数据变动趋势方向，同一报表连续</w:t>
      </w:r>
      <w:r>
        <w:rPr>
          <w:rFonts w:eastAsia="仿宋_GB2312;仿宋"/>
          <w:sz w:val="28"/>
          <w:szCs w:val="28"/>
        </w:rPr>
        <w:t>12</w:t>
      </w:r>
      <w:r>
        <w:rPr>
          <w:rFonts w:eastAsia="仿宋_GB2312;仿宋"/>
          <w:sz w:val="28"/>
          <w:szCs w:val="28"/>
        </w:rPr>
        <w:t>个月内出现</w:t>
      </w:r>
      <w:r>
        <w:rPr>
          <w:rFonts w:eastAsia="仿宋_GB2312;仿宋"/>
          <w:sz w:val="28"/>
          <w:szCs w:val="28"/>
        </w:rPr>
        <w:t>3</w:t>
      </w:r>
      <w:r>
        <w:rPr>
          <w:rFonts w:eastAsia="仿宋_GB2312;仿宋"/>
          <w:sz w:val="28"/>
          <w:szCs w:val="28"/>
        </w:rPr>
        <w:t>次（含）以上错报、同一批次中出现</w:t>
      </w:r>
      <w:r>
        <w:rPr>
          <w:rFonts w:eastAsia="仿宋_GB2312;仿宋"/>
          <w:sz w:val="28"/>
          <w:szCs w:val="28"/>
        </w:rPr>
        <w:t>6</w:t>
      </w:r>
      <w:r>
        <w:rPr>
          <w:rFonts w:eastAsia="仿宋_GB2312;仿宋"/>
          <w:sz w:val="28"/>
          <w:szCs w:val="28"/>
        </w:rPr>
        <w:t>张（含）以上报表错报或连续</w:t>
      </w:r>
      <w:r>
        <w:rPr>
          <w:rFonts w:eastAsia="仿宋_GB2312;仿宋"/>
          <w:sz w:val="28"/>
          <w:szCs w:val="28"/>
        </w:rPr>
        <w:t>12</w:t>
      </w:r>
      <w:r>
        <w:rPr>
          <w:rFonts w:eastAsia="仿宋_GB2312;仿宋"/>
          <w:sz w:val="28"/>
          <w:szCs w:val="28"/>
        </w:rPr>
        <w:t>个月内累计出现</w:t>
      </w:r>
      <w:r>
        <w:rPr>
          <w:rFonts w:eastAsia="仿宋_GB2312;仿宋"/>
          <w:sz w:val="28"/>
          <w:szCs w:val="28"/>
        </w:rPr>
        <w:t>10</w:t>
      </w:r>
      <w:r>
        <w:rPr>
          <w:rFonts w:eastAsia="仿宋_GB2312;仿宋"/>
          <w:sz w:val="28"/>
          <w:szCs w:val="28"/>
        </w:rPr>
        <w:t>张（含）报表错报；</w:t>
      </w:r>
      <w:r>
        <w:rPr>
          <w:rFonts w:eastAsia="仿宋_GB2312;仿宋"/>
          <w:sz w:val="28"/>
          <w:szCs w:val="28"/>
        </w:rPr>
        <w:t>yy</w:t>
      </w:r>
      <w:r>
        <w:rPr>
          <w:rFonts w:eastAsia="仿宋_GB2312;仿宋"/>
          <w:sz w:val="28"/>
          <w:szCs w:val="28"/>
        </w:rPr>
        <w:t>银监分局监管统计关键指标数据质量承诺制度中所列非现场监管统计和客户风险统计关键指标连续</w:t>
      </w:r>
      <w:r>
        <w:rPr>
          <w:rFonts w:eastAsia="仿宋_GB2312;仿宋"/>
          <w:sz w:val="28"/>
          <w:szCs w:val="28"/>
        </w:rPr>
        <w:t>12</w:t>
      </w:r>
      <w:r>
        <w:rPr>
          <w:rFonts w:eastAsia="仿宋_GB2312;仿宋"/>
          <w:sz w:val="28"/>
          <w:szCs w:val="28"/>
        </w:rPr>
        <w:t>个月内合计出现</w:t>
      </w:r>
      <w:r>
        <w:rPr>
          <w:rFonts w:eastAsia="仿宋_GB2312;仿宋"/>
          <w:sz w:val="28"/>
          <w:szCs w:val="28"/>
        </w:rPr>
        <w:t>2</w:t>
      </w:r>
      <w:r>
        <w:rPr>
          <w:rFonts w:eastAsia="仿宋_GB2312;仿宋"/>
          <w:sz w:val="28"/>
          <w:szCs w:val="28"/>
        </w:rPr>
        <w:t>次（含）以上错报；数据差错被银监会、江苏银监局通报批评，数据差错被银监会、江苏银监局、</w:t>
      </w:r>
      <w:r>
        <w:rPr>
          <w:rFonts w:eastAsia="仿宋_GB2312;仿宋"/>
          <w:sz w:val="28"/>
          <w:szCs w:val="28"/>
        </w:rPr>
        <w:t>yy</w:t>
      </w:r>
      <w:r>
        <w:rPr>
          <w:rFonts w:eastAsia="仿宋_GB2312;仿宋"/>
          <w:sz w:val="28"/>
          <w:szCs w:val="28"/>
        </w:rPr>
        <w:t>银监分局责令解锁重报。</w:t>
      </w:r>
    </w:p>
    <w:p>
      <w:pPr>
        <w:pStyle w:val="Normal"/>
        <w:spacing w:lineRule="auto" w:line="360"/>
        <w:ind w:firstLine="560" w:right="0"/>
        <w:rPr>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提供虚假的或隐瞒重要事实数据及程度认定。</w:t>
      </w:r>
    </w:p>
    <w:p>
      <w:pPr>
        <w:pStyle w:val="Normal"/>
        <w:spacing w:lineRule="auto" w:line="360"/>
        <w:ind w:firstLine="560" w:right="0"/>
        <w:rPr/>
      </w:pPr>
      <w:bookmarkStart w:id="0" w:name="OLE_LINK2"/>
      <w:bookmarkStart w:id="1" w:name="OLE_LINK1"/>
      <w:r>
        <w:rPr>
          <w:rFonts w:eastAsia="仿宋_GB2312;仿宋"/>
          <w:sz w:val="28"/>
          <w:szCs w:val="28"/>
        </w:rPr>
        <w:t>提供虚假或隐瞒重要事实</w:t>
      </w:r>
      <w:bookmarkEnd w:id="0"/>
      <w:bookmarkEnd w:id="1"/>
      <w:r>
        <w:rPr>
          <w:rFonts w:eastAsia="仿宋_GB2312;仿宋"/>
          <w:sz w:val="28"/>
          <w:szCs w:val="28"/>
        </w:rPr>
        <w:t>数据指各单位弄虚作假，报送的统计信息不真实，不符合客观实际；对外报送的报表与实际数据明显不符的监管统计报表数据；提供虚假的或隐瞒重要事实数据包括但不限于以下行为：监管统计报表数据明显区别于本行信息系统或台账中的原始数据，且不能提供合理解释说明；</w:t>
      </w:r>
      <w:r>
        <w:rPr>
          <w:rFonts w:eastAsia="仿宋_GB2312;仿宋"/>
          <w:sz w:val="28"/>
          <w:szCs w:val="28"/>
        </w:rPr>
        <w:t>yy</w:t>
      </w:r>
      <w:r>
        <w:rPr>
          <w:rFonts w:eastAsia="仿宋_GB2312;仿宋"/>
          <w:sz w:val="28"/>
          <w:szCs w:val="28"/>
        </w:rPr>
        <w:t>银监分局监管统计关键指标数据质量承诺制度中所列非现场监管统计和客户风险统计关键指标与正确指标偏离度超</w:t>
      </w:r>
      <w:r>
        <w:rPr>
          <w:rFonts w:eastAsia="仿宋_GB2312;仿宋"/>
          <w:sz w:val="28"/>
          <w:szCs w:val="28"/>
        </w:rPr>
        <w:t>15%</w:t>
      </w:r>
      <w:r>
        <w:rPr>
          <w:rFonts w:eastAsia="仿宋_GB2312;仿宋"/>
          <w:sz w:val="28"/>
          <w:szCs w:val="28"/>
        </w:rPr>
        <w:t>；出于规避监管的目的，违反统计法律、法规和统计制度，以不真实数据报送监管机构。提供虚假的或隐瞒重要事实的报表均为严重数据质量问题，基于主观故意提供虚假的或隐瞒重要事实报表的加重追责。</w:t>
      </w:r>
    </w:p>
    <w:p>
      <w:pPr>
        <w:pStyle w:val="Normal"/>
        <w:spacing w:lineRule="auto" w:line="360"/>
        <w:ind w:firstLine="560" w:right="0"/>
        <w:rPr>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其他监管统计工作问题追责情况计分规则。</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客户风险数据质量考核情况计分规则。以江苏银监局《客户风险统计数据质量考核实施细则》为依据，根据江苏银监局客户风险数据质量月度通报中省内排名情况进行扣分。江苏省内排名倒数</w:t>
      </w:r>
      <w:r>
        <w:rPr>
          <w:rFonts w:eastAsia="仿宋_GB2312;仿宋"/>
          <w:sz w:val="28"/>
          <w:szCs w:val="28"/>
        </w:rPr>
        <w:t>5</w:t>
      </w:r>
      <w:r>
        <w:rPr>
          <w:rFonts w:eastAsia="仿宋_GB2312;仿宋"/>
          <w:sz w:val="28"/>
          <w:szCs w:val="28"/>
        </w:rPr>
        <w:t>位以内（含）的，对相关责任人每次扣</w:t>
      </w:r>
      <w:r>
        <w:rPr>
          <w:rFonts w:eastAsia="仿宋_GB2312;仿宋"/>
          <w:sz w:val="28"/>
          <w:szCs w:val="28"/>
        </w:rPr>
        <w:t>1</w:t>
      </w:r>
      <w:r>
        <w:rPr>
          <w:rFonts w:eastAsia="仿宋_GB2312;仿宋"/>
          <w:sz w:val="28"/>
          <w:szCs w:val="28"/>
        </w:rPr>
        <w:t>分；排名倒数第</w:t>
      </w:r>
      <w:r>
        <w:rPr>
          <w:rFonts w:eastAsia="仿宋_GB2312;仿宋"/>
          <w:sz w:val="28"/>
          <w:szCs w:val="28"/>
        </w:rPr>
        <w:t>6</w:t>
      </w:r>
      <w:r>
        <w:rPr>
          <w:rFonts w:eastAsia="仿宋_GB2312;仿宋"/>
          <w:sz w:val="28"/>
          <w:szCs w:val="28"/>
        </w:rPr>
        <w:t>至</w:t>
      </w:r>
      <w:r>
        <w:rPr>
          <w:rFonts w:eastAsia="仿宋_GB2312;仿宋"/>
          <w:sz w:val="28"/>
          <w:szCs w:val="28"/>
        </w:rPr>
        <w:t>10</w:t>
      </w:r>
      <w:r>
        <w:rPr>
          <w:rFonts w:eastAsia="仿宋_GB2312;仿宋"/>
          <w:sz w:val="28"/>
          <w:szCs w:val="28"/>
        </w:rPr>
        <w:t>位（含）的，对相关责任人每次扣</w:t>
      </w:r>
      <w:r>
        <w:rPr>
          <w:rFonts w:eastAsia="仿宋_GB2312;仿宋"/>
          <w:sz w:val="28"/>
          <w:szCs w:val="28"/>
        </w:rPr>
        <w:t>0.6</w:t>
      </w:r>
      <w:r>
        <w:rPr>
          <w:rFonts w:eastAsia="仿宋_GB2312;仿宋"/>
          <w:sz w:val="28"/>
          <w:szCs w:val="28"/>
        </w:rPr>
        <w:t>分，排名倒数第</w:t>
      </w:r>
      <w:r>
        <w:rPr>
          <w:rFonts w:eastAsia="仿宋_GB2312;仿宋"/>
          <w:sz w:val="28"/>
          <w:szCs w:val="28"/>
        </w:rPr>
        <w:t>11</w:t>
      </w:r>
      <w:r>
        <w:rPr>
          <w:rFonts w:eastAsia="仿宋_GB2312;仿宋"/>
          <w:sz w:val="28"/>
          <w:szCs w:val="28"/>
        </w:rPr>
        <w:t>至</w:t>
      </w:r>
      <w:r>
        <w:rPr>
          <w:rFonts w:eastAsia="仿宋_GB2312;仿宋"/>
          <w:sz w:val="28"/>
          <w:szCs w:val="28"/>
        </w:rPr>
        <w:t>20</w:t>
      </w:r>
      <w:r>
        <w:rPr>
          <w:rFonts w:eastAsia="仿宋_GB2312;仿宋"/>
          <w:sz w:val="28"/>
          <w:szCs w:val="28"/>
        </w:rPr>
        <w:t>位的银行（含），对相关责任人每次扣</w:t>
      </w:r>
      <w:r>
        <w:rPr>
          <w:rFonts w:eastAsia="仿宋_GB2312;仿宋"/>
          <w:sz w:val="28"/>
          <w:szCs w:val="28"/>
        </w:rPr>
        <w:t>0.3</w:t>
      </w:r>
      <w:r>
        <w:rPr>
          <w:rFonts w:eastAsia="仿宋_GB2312;仿宋"/>
          <w:sz w:val="28"/>
          <w:szCs w:val="28"/>
        </w:rPr>
        <w:t>分。</w:t>
      </w:r>
    </w:p>
    <w:p>
      <w:pPr>
        <w:pStyle w:val="Normal"/>
        <w:spacing w:lineRule="auto" w:line="360"/>
        <w:ind w:firstLine="560" w:right="0"/>
        <w:rPr>
          <w:rFonts w:eastAsia="仿宋_GB2312;仿宋"/>
          <w:b/>
          <w:sz w:val="30"/>
          <w:szCs w:val="30"/>
        </w:rPr>
      </w:pPr>
      <w:r>
        <w:rPr>
          <w:rFonts w:eastAsia="仿宋_GB2312;仿宋"/>
          <w:sz w:val="28"/>
          <w:szCs w:val="28"/>
        </w:rPr>
        <w:t>2.</w:t>
      </w:r>
      <w:r>
        <w:rPr>
          <w:rFonts w:eastAsia="仿宋_GB2312;仿宋"/>
          <w:sz w:val="28"/>
          <w:szCs w:val="28"/>
        </w:rPr>
        <w:t>非现场监管报表异动说明考核计分规则。不按规定报送《</w:t>
      </w:r>
      <w:r>
        <w:rPr>
          <w:rFonts w:eastAsia="仿宋_GB2312;仿宋"/>
          <w:sz w:val="28"/>
          <w:szCs w:val="28"/>
        </w:rPr>
        <w:t>yy</w:t>
      </w:r>
      <w:r>
        <w:rPr>
          <w:rFonts w:eastAsia="仿宋_GB2312;仿宋"/>
          <w:sz w:val="28"/>
          <w:szCs w:val="28"/>
        </w:rPr>
        <w:t>银监分局监管统计关键指标数据质量承诺书》，迟报</w:t>
      </w:r>
      <w:r>
        <w:rPr>
          <w:rFonts w:eastAsia="仿宋_GB2312;仿宋"/>
          <w:sz w:val="28"/>
          <w:szCs w:val="28"/>
        </w:rPr>
        <w:t>1</w:t>
      </w:r>
      <w:r>
        <w:rPr>
          <w:rFonts w:eastAsia="仿宋_GB2312;仿宋"/>
          <w:sz w:val="28"/>
          <w:szCs w:val="28"/>
        </w:rPr>
        <w:t>次扣</w:t>
      </w:r>
      <w:r>
        <w:rPr>
          <w:rFonts w:eastAsia="仿宋_GB2312;仿宋"/>
          <w:sz w:val="28"/>
          <w:szCs w:val="28"/>
        </w:rPr>
        <w:t>0.5</w:t>
      </w:r>
      <w:r>
        <w:rPr>
          <w:rFonts w:eastAsia="仿宋_GB2312;仿宋"/>
          <w:sz w:val="28"/>
          <w:szCs w:val="28"/>
        </w:rPr>
        <w:t>分，漏报</w:t>
      </w:r>
      <w:r>
        <w:rPr>
          <w:rFonts w:eastAsia="仿宋_GB2312;仿宋"/>
          <w:sz w:val="28"/>
          <w:szCs w:val="28"/>
        </w:rPr>
        <w:t>1</w:t>
      </w:r>
      <w:r>
        <w:rPr>
          <w:rFonts w:eastAsia="仿宋_GB2312;仿宋"/>
          <w:sz w:val="28"/>
          <w:szCs w:val="28"/>
        </w:rPr>
        <w:t>次扣</w:t>
      </w:r>
      <w:r>
        <w:rPr>
          <w:rFonts w:eastAsia="仿宋_GB2312;仿宋"/>
          <w:sz w:val="28"/>
          <w:szCs w:val="28"/>
        </w:rPr>
        <w:t>1</w:t>
      </w:r>
      <w:r>
        <w:rPr>
          <w:rFonts w:eastAsia="仿宋_GB2312;仿宋"/>
          <w:sz w:val="28"/>
          <w:szCs w:val="28"/>
        </w:rPr>
        <w:t>分；不按规定要求报送监管统计数据异动说明的，迟报</w:t>
      </w:r>
      <w:r>
        <w:rPr>
          <w:rFonts w:eastAsia="仿宋_GB2312;仿宋"/>
          <w:sz w:val="28"/>
          <w:szCs w:val="28"/>
        </w:rPr>
        <w:t>1</w:t>
      </w:r>
      <w:r>
        <w:rPr>
          <w:rFonts w:eastAsia="仿宋_GB2312;仿宋"/>
          <w:sz w:val="28"/>
          <w:szCs w:val="28"/>
        </w:rPr>
        <w:t>次扣</w:t>
      </w:r>
      <w:r>
        <w:rPr>
          <w:rFonts w:eastAsia="仿宋_GB2312;仿宋"/>
          <w:sz w:val="28"/>
          <w:szCs w:val="28"/>
        </w:rPr>
        <w:t>0.5</w:t>
      </w:r>
      <w:r>
        <w:rPr>
          <w:rFonts w:eastAsia="仿宋_GB2312;仿宋"/>
          <w:sz w:val="28"/>
          <w:szCs w:val="28"/>
        </w:rPr>
        <w:t>分，漏报</w:t>
      </w:r>
      <w:r>
        <w:rPr>
          <w:rFonts w:eastAsia="仿宋_GB2312;仿宋"/>
          <w:sz w:val="28"/>
          <w:szCs w:val="28"/>
        </w:rPr>
        <w:t>1</w:t>
      </w:r>
      <w:r>
        <w:rPr>
          <w:rFonts w:eastAsia="仿宋_GB2312;仿宋"/>
          <w:sz w:val="28"/>
          <w:szCs w:val="28"/>
        </w:rPr>
        <w:t>次扣</w:t>
      </w:r>
      <w:r>
        <w:rPr>
          <w:rFonts w:eastAsia="仿宋_GB2312;仿宋"/>
          <w:sz w:val="28"/>
          <w:szCs w:val="28"/>
        </w:rPr>
        <w:t>1</w:t>
      </w:r>
      <w:r>
        <w:rPr>
          <w:rFonts w:eastAsia="仿宋_GB2312;仿宋"/>
          <w:sz w:val="28"/>
          <w:szCs w:val="28"/>
        </w:rPr>
        <w:t>分，异动说明中错报或漏报</w:t>
      </w:r>
      <w:r>
        <w:rPr>
          <w:rFonts w:eastAsia="仿宋_GB2312;仿宋"/>
          <w:sz w:val="28"/>
          <w:szCs w:val="28"/>
        </w:rPr>
        <w:t>1</w:t>
      </w:r>
      <w:r>
        <w:rPr>
          <w:rFonts w:eastAsia="仿宋_GB2312;仿宋"/>
          <w:sz w:val="28"/>
          <w:szCs w:val="28"/>
        </w:rPr>
        <w:t>个指标的扣</w:t>
      </w:r>
      <w:r>
        <w:rPr>
          <w:rFonts w:eastAsia="仿宋_GB2312;仿宋"/>
          <w:sz w:val="28"/>
          <w:szCs w:val="28"/>
        </w:rPr>
        <w:t>0.2</w:t>
      </w:r>
      <w:r>
        <w:rPr>
          <w:rFonts w:eastAsia="仿宋_GB2312;仿宋"/>
          <w:sz w:val="28"/>
          <w:szCs w:val="28"/>
        </w:rPr>
        <w:t>分。</w:t>
      </w:r>
    </w:p>
    <w:p>
      <w:pPr>
        <w:pStyle w:val="Normal"/>
        <w:spacing w:lineRule="auto" w:line="360" w:before="156" w:after="0"/>
        <w:jc w:val="center"/>
        <w:rPr>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追责对象及追责方式</w:t>
      </w:r>
    </w:p>
    <w:p>
      <w:pPr>
        <w:pStyle w:val="Normal"/>
        <w:spacing w:lineRule="auto" w:line="360"/>
        <w:ind w:firstLine="560" w:right="0"/>
        <w:rPr>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本细则追责对象包括报表填报人员、复核人员、运营主管（或合规员）、单位或部门负责人、归口管理部门相关人员、分管行长、行长。</w:t>
      </w:r>
    </w:p>
    <w:p>
      <w:pPr>
        <w:pStyle w:val="Normal"/>
        <w:spacing w:lineRule="auto" w:line="360"/>
        <w:ind w:firstLine="560" w:right="0"/>
        <w:rPr>
          <w:sz w:val="28"/>
          <w:szCs w:val="28"/>
        </w:rPr>
      </w:pPr>
      <w:r>
        <w:rPr>
          <w:rFonts w:eastAsia="仿宋_GB2312;仿宋"/>
          <w:sz w:val="28"/>
          <w:szCs w:val="28"/>
        </w:rPr>
        <w:t>第十二条</w:t>
      </w:r>
      <w:r>
        <w:rPr>
          <w:rFonts w:eastAsia="Times New Roman"/>
          <w:sz w:val="28"/>
          <w:szCs w:val="28"/>
        </w:rPr>
        <w:t xml:space="preserve">  </w:t>
      </w:r>
      <w:r>
        <w:rPr>
          <w:rFonts w:eastAsia="仿宋_GB2312;仿宋"/>
          <w:sz w:val="28"/>
          <w:szCs w:val="28"/>
        </w:rPr>
        <w:t>监管统计数据质量问题追责的处理方式包括：纪律处分、经济处罚和其他处罚。</w:t>
      </w:r>
    </w:p>
    <w:p>
      <w:pPr>
        <w:pStyle w:val="Normal"/>
        <w:spacing w:lineRule="auto" w:line="360"/>
        <w:ind w:firstLine="560" w:right="0"/>
        <w:rPr>
          <w:rFonts w:eastAsia="仿宋_GB2312;仿宋"/>
          <w:sz w:val="28"/>
          <w:szCs w:val="28"/>
        </w:rPr>
      </w:pPr>
      <w:r>
        <w:rPr>
          <w:rFonts w:eastAsia="仿宋_GB2312;仿宋"/>
          <w:sz w:val="28"/>
          <w:szCs w:val="28"/>
        </w:rPr>
        <w:t>（一）纪律处分，包括警告、记过、记大过、降级（职）、撤职、留用察看、开除。</w:t>
      </w:r>
    </w:p>
    <w:p>
      <w:pPr>
        <w:pStyle w:val="Normal"/>
        <w:spacing w:lineRule="auto" w:line="360"/>
        <w:ind w:firstLine="560" w:right="0"/>
        <w:rPr>
          <w:rFonts w:eastAsia="仿宋_GB2312;仿宋"/>
          <w:sz w:val="28"/>
          <w:szCs w:val="28"/>
        </w:rPr>
      </w:pPr>
      <w:r>
        <w:rPr>
          <w:rFonts w:eastAsia="仿宋_GB2312;仿宋"/>
          <w:sz w:val="28"/>
          <w:szCs w:val="28"/>
        </w:rPr>
        <w:t>（二）经济处罚，包括积分罚款扣减绩效收入、赔偿经济损失等。</w:t>
      </w:r>
    </w:p>
    <w:p>
      <w:pPr>
        <w:pStyle w:val="Normal"/>
        <w:spacing w:lineRule="auto" w:line="360"/>
        <w:ind w:firstLine="560" w:right="0"/>
        <w:rPr>
          <w:rFonts w:eastAsia="仿宋_GB2312;仿宋"/>
          <w:sz w:val="28"/>
          <w:szCs w:val="28"/>
        </w:rPr>
      </w:pPr>
      <w:r>
        <w:rPr>
          <w:rFonts w:eastAsia="仿宋_GB2312;仿宋"/>
          <w:sz w:val="28"/>
          <w:szCs w:val="28"/>
        </w:rPr>
        <w:t>（三）其他处罚，包括批评教育、内部下岗、组织处理。其中批评教育包括：责令限期改正、责令书面检查、诫勉谈话、通报批评；组织处理包括：调离、停职、免职、解聘专业技术职务、责令辞职、解除劳动合同等。</w:t>
      </w:r>
    </w:p>
    <w:p>
      <w:pPr>
        <w:pStyle w:val="Normal"/>
        <w:spacing w:lineRule="auto" w:line="360"/>
        <w:ind w:firstLine="560" w:right="0"/>
        <w:rPr>
          <w:rFonts w:eastAsia="仿宋_GB2312;仿宋"/>
          <w:sz w:val="28"/>
          <w:szCs w:val="28"/>
        </w:rPr>
      </w:pPr>
      <w:r>
        <w:rPr>
          <w:rFonts w:eastAsia="仿宋_GB2312;仿宋"/>
          <w:sz w:val="28"/>
          <w:szCs w:val="28"/>
        </w:rPr>
        <w:t>以上处理方式可以并用。</w:t>
      </w:r>
    </w:p>
    <w:p>
      <w:pPr>
        <w:pStyle w:val="Normal"/>
        <w:spacing w:lineRule="auto" w:line="360"/>
        <w:ind w:firstLine="560" w:right="0"/>
        <w:rPr>
          <w:sz w:val="28"/>
          <w:szCs w:val="28"/>
        </w:rPr>
      </w:pPr>
      <w:r>
        <w:rPr>
          <w:rFonts w:eastAsia="仿宋_GB2312;仿宋"/>
          <w:sz w:val="28"/>
          <w:szCs w:val="28"/>
        </w:rPr>
        <w:t>第十三条</w:t>
      </w:r>
      <w:r>
        <w:rPr>
          <w:rFonts w:eastAsia="Times New Roman"/>
          <w:sz w:val="28"/>
          <w:szCs w:val="28"/>
        </w:rPr>
        <w:t xml:space="preserve">  </w:t>
      </w:r>
      <w:r>
        <w:rPr>
          <w:rFonts w:eastAsia="仿宋_GB2312;仿宋"/>
          <w:sz w:val="28"/>
          <w:szCs w:val="28"/>
        </w:rPr>
        <w:t>本追责办法记分值</w:t>
      </w:r>
      <w:r>
        <w:rPr>
          <w:rFonts w:eastAsia="仿宋_GB2312;仿宋"/>
          <w:sz w:val="28"/>
          <w:szCs w:val="28"/>
        </w:rPr>
        <w:t>1</w:t>
      </w:r>
      <w:r>
        <w:rPr>
          <w:rFonts w:eastAsia="仿宋_GB2312;仿宋"/>
          <w:sz w:val="28"/>
          <w:szCs w:val="28"/>
        </w:rPr>
        <w:t>分、</w:t>
      </w:r>
      <w:r>
        <w:rPr>
          <w:rFonts w:eastAsia="仿宋_GB2312;仿宋"/>
          <w:sz w:val="28"/>
          <w:szCs w:val="28"/>
        </w:rPr>
        <w:t>3</w:t>
      </w:r>
      <w:r>
        <w:rPr>
          <w:rFonts w:eastAsia="仿宋_GB2312;仿宋"/>
          <w:sz w:val="28"/>
          <w:szCs w:val="28"/>
        </w:rPr>
        <w:t>分、</w:t>
      </w:r>
      <w:r>
        <w:rPr>
          <w:rFonts w:eastAsia="仿宋_GB2312;仿宋"/>
          <w:sz w:val="28"/>
          <w:szCs w:val="28"/>
        </w:rPr>
        <w:t>5</w:t>
      </w:r>
      <w:r>
        <w:rPr>
          <w:rFonts w:eastAsia="仿宋_GB2312;仿宋"/>
          <w:sz w:val="28"/>
          <w:szCs w:val="28"/>
        </w:rPr>
        <w:t>分，分别对应本行《员工违规行为处理办法》的</w:t>
      </w:r>
      <w:r>
        <w:rPr>
          <w:rFonts w:eastAsia="仿宋_GB2312;仿宋"/>
          <w:sz w:val="28"/>
          <w:szCs w:val="28"/>
        </w:rPr>
        <w:t>5</w:t>
      </w:r>
      <w:r>
        <w:rPr>
          <w:rFonts w:eastAsia="仿宋_GB2312;仿宋"/>
          <w:sz w:val="28"/>
          <w:szCs w:val="28"/>
        </w:rPr>
        <w:t>分、</w:t>
      </w:r>
      <w:r>
        <w:rPr>
          <w:rFonts w:eastAsia="仿宋_GB2312;仿宋"/>
          <w:sz w:val="28"/>
          <w:szCs w:val="28"/>
        </w:rPr>
        <w:t>15</w:t>
      </w:r>
      <w:r>
        <w:rPr>
          <w:rFonts w:eastAsia="仿宋_GB2312;仿宋"/>
          <w:sz w:val="28"/>
          <w:szCs w:val="28"/>
        </w:rPr>
        <w:t>分、</w:t>
      </w:r>
      <w:r>
        <w:rPr>
          <w:rFonts w:eastAsia="仿宋_GB2312;仿宋"/>
          <w:sz w:val="28"/>
          <w:szCs w:val="28"/>
        </w:rPr>
        <w:t>25</w:t>
      </w:r>
      <w:r>
        <w:rPr>
          <w:rFonts w:eastAsia="仿宋_GB2312;仿宋"/>
          <w:sz w:val="28"/>
          <w:szCs w:val="28"/>
        </w:rPr>
        <w:t>分进行记分处罚，其他分值相应折算。</w:t>
      </w:r>
    </w:p>
    <w:p>
      <w:pPr>
        <w:pStyle w:val="Normal"/>
        <w:spacing w:lineRule="auto" w:line="360"/>
        <w:ind w:firstLine="560" w:right="0"/>
        <w:rPr>
          <w:rFonts w:eastAsia="仿宋_GB2312;仿宋"/>
          <w:sz w:val="28"/>
          <w:szCs w:val="28"/>
        </w:rPr>
      </w:pPr>
      <w:r>
        <w:rPr>
          <w:rFonts w:eastAsia="仿宋_GB2312;仿宋"/>
          <w:sz w:val="28"/>
          <w:szCs w:val="28"/>
        </w:rPr>
        <w:t>原则上，对于一般数据质量问题，给予报表填报人员、复核人员、运营主管（或合规员）、单位或部门负责人不低于</w:t>
      </w:r>
      <w:r>
        <w:rPr>
          <w:rFonts w:eastAsia="仿宋_GB2312;仿宋"/>
          <w:sz w:val="28"/>
          <w:szCs w:val="28"/>
        </w:rPr>
        <w:t>500</w:t>
      </w:r>
      <w:r>
        <w:rPr>
          <w:rFonts w:eastAsia="仿宋_GB2312;仿宋"/>
          <w:sz w:val="28"/>
          <w:szCs w:val="28"/>
        </w:rPr>
        <w:t>元（含）的经济处罚；对于重大数据质量问题，给予报表填报人员、复核人员、运营主管（或合规员）、单位或部门负责人、归口管理部门相关人员、分管行长不低于</w:t>
      </w:r>
      <w:r>
        <w:rPr>
          <w:rFonts w:eastAsia="仿宋_GB2312;仿宋"/>
          <w:sz w:val="28"/>
          <w:szCs w:val="28"/>
        </w:rPr>
        <w:t>1500</w:t>
      </w:r>
      <w:r>
        <w:rPr>
          <w:rFonts w:eastAsia="仿宋_GB2312;仿宋"/>
          <w:sz w:val="28"/>
          <w:szCs w:val="28"/>
        </w:rPr>
        <w:t>元（含）的经济处罚；对于严重数据质量问题，给予报表填报人员、复核人员、运营主管（或合规员）、单位或部门负责人、归口管理部门相关人员、分管行长、行长不低于</w:t>
      </w:r>
      <w:r>
        <w:rPr>
          <w:rFonts w:eastAsia="仿宋_GB2312;仿宋"/>
          <w:sz w:val="28"/>
          <w:szCs w:val="28"/>
        </w:rPr>
        <w:t>3000</w:t>
      </w:r>
      <w:r>
        <w:rPr>
          <w:rFonts w:eastAsia="仿宋_GB2312;仿宋"/>
          <w:sz w:val="28"/>
          <w:szCs w:val="28"/>
        </w:rPr>
        <w:t>元（含）的经济处罚，同时对直接填报人员、复核人员、运营主管（或合规员）、单位或部门负责人进行行政处分；如被监管银监局下发“警示单”，给予报表填报人员、复核人员、运营主管（或合规员）、单位或部门负责人、归口管理部门相关人员、分管行长不低于</w:t>
      </w:r>
      <w:r>
        <w:rPr>
          <w:rFonts w:eastAsia="仿宋_GB2312;仿宋"/>
          <w:sz w:val="28"/>
          <w:szCs w:val="28"/>
        </w:rPr>
        <w:t>2000</w:t>
      </w:r>
      <w:r>
        <w:rPr>
          <w:rFonts w:eastAsia="仿宋_GB2312;仿宋"/>
          <w:sz w:val="28"/>
          <w:szCs w:val="28"/>
        </w:rPr>
        <w:t>元（含）的经济处罚。</w:t>
      </w:r>
    </w:p>
    <w:p>
      <w:pPr>
        <w:pStyle w:val="Normal"/>
        <w:spacing w:lineRule="auto" w:line="360"/>
        <w:ind w:firstLine="560" w:right="0"/>
        <w:rPr>
          <w:rFonts w:eastAsia="仿宋_GB2312;仿宋"/>
          <w:b/>
          <w:sz w:val="30"/>
          <w:szCs w:val="30"/>
        </w:rPr>
      </w:pPr>
      <w:r>
        <w:rPr>
          <w:rFonts w:eastAsia="仿宋_GB2312;仿宋"/>
          <w:sz w:val="28"/>
          <w:szCs w:val="28"/>
        </w:rPr>
        <w:t>第十四条</w:t>
      </w:r>
      <w:r>
        <w:rPr>
          <w:rFonts w:eastAsia="Times New Roman"/>
          <w:sz w:val="28"/>
          <w:szCs w:val="28"/>
        </w:rPr>
        <w:t xml:space="preserve">  </w:t>
      </w:r>
      <w:r>
        <w:rPr>
          <w:rFonts w:eastAsia="仿宋_GB2312;仿宋"/>
          <w:sz w:val="28"/>
          <w:szCs w:val="28"/>
        </w:rPr>
        <w:t>发生数据差错的单位，在报表数据报送后自行发现差错并主动申请重报的，可酌情减轻责任追究力度；对于明知有错，却故意隐瞒且不主动申请重报，被总行或监管机构责令重报的加重追责。</w:t>
      </w:r>
    </w:p>
    <w:p>
      <w:pPr>
        <w:pStyle w:val="Normal"/>
        <w:spacing w:lineRule="auto" w:line="360" w:before="156" w:after="0"/>
        <w:jc w:val="center"/>
        <w:rPr>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附则</w:t>
      </w:r>
    </w:p>
    <w:p>
      <w:pPr>
        <w:pStyle w:val="Normal"/>
        <w:spacing w:lineRule="auto" w:line="360"/>
        <w:ind w:firstLine="560" w:right="0"/>
        <w:rPr/>
      </w:pPr>
      <w:r>
        <w:rPr>
          <w:rFonts w:eastAsia="仿宋_GB2312;仿宋"/>
          <w:sz w:val="28"/>
          <w:szCs w:val="28"/>
        </w:rPr>
        <w:t>第十五条</w:t>
      </w:r>
      <w:r>
        <w:rPr>
          <w:rFonts w:eastAsia="Times New Roman"/>
          <w:sz w:val="28"/>
          <w:szCs w:val="28"/>
        </w:rPr>
        <w:t xml:space="preserve">  </w:t>
      </w:r>
      <w:r>
        <w:rPr>
          <w:rFonts w:eastAsia="仿宋_GB2312;仿宋"/>
          <w:sz w:val="28"/>
          <w:szCs w:val="28"/>
        </w:rPr>
        <w:t>本细则由</w:t>
      </w:r>
      <w:r>
        <w:rPr>
          <w:rFonts w:eastAsia="仿宋_GB2312;仿宋"/>
          <w:sz w:val="28"/>
          <w:szCs w:val="28"/>
        </w:rPr>
        <w:t>xxx</w:t>
      </w:r>
      <w:r>
        <w:rPr>
          <w:rFonts w:eastAsia="仿宋_GB2312;仿宋"/>
          <w:sz w:val="28"/>
          <w:szCs w:val="28"/>
        </w:rPr>
        <w:t>银行</w:t>
      </w:r>
      <w:r>
        <w:rPr>
          <w:rFonts w:eastAsia="仿宋_GB2312;仿宋"/>
          <w:sz w:val="28"/>
          <w:szCs w:val="28"/>
        </w:rPr>
        <w:t>风险管理部</w:t>
      </w:r>
      <w:r>
        <w:rPr>
          <w:rFonts w:eastAsia="仿宋_GB2312;仿宋"/>
          <w:sz w:val="28"/>
          <w:szCs w:val="28"/>
        </w:rPr>
        <w:t>负责解释和修订。</w:t>
      </w:r>
    </w:p>
    <w:p>
      <w:pPr>
        <w:pStyle w:val="Normal"/>
        <w:spacing w:lineRule="auto" w:line="360"/>
        <w:ind w:firstLine="560" w:right="0"/>
        <w:rPr>
          <w:sz w:val="28"/>
          <w:szCs w:val="28"/>
        </w:rPr>
      </w:pPr>
      <w:r>
        <w:rPr>
          <w:rFonts w:eastAsia="仿宋_GB2312;仿宋"/>
          <w:sz w:val="28"/>
          <w:szCs w:val="28"/>
        </w:rPr>
        <w:t>第十六条</w:t>
      </w:r>
      <w:r>
        <w:rPr>
          <w:rFonts w:eastAsia="Times New Roman"/>
          <w:sz w:val="28"/>
          <w:szCs w:val="28"/>
        </w:rPr>
        <w:t xml:space="preserve">  </w:t>
      </w:r>
      <w:r>
        <w:rPr>
          <w:rFonts w:eastAsia="仿宋_GB2312;仿宋"/>
          <w:sz w:val="28"/>
          <w:szCs w:val="28"/>
        </w:rPr>
        <w:t>本细则自印发之日起施行。</w:t>
      </w:r>
    </w:p>
    <w:p>
      <w:pPr>
        <w:pStyle w:val="Normal"/>
        <w:spacing w:lineRule="exact" w:line="100"/>
        <w:ind w:firstLine="600" w:right="0"/>
        <w:rPr>
          <w:rFonts w:eastAsia="Times New Roman"/>
          <w:sz w:val="30"/>
          <w:szCs w:val="30"/>
        </w:rPr>
      </w:pPr>
      <w:r>
        <w:rPr>
          <w:rFonts w:eastAsia="Times New Roman"/>
          <w:sz w:val="30"/>
          <w:szCs w:val="30"/>
        </w:rPr>
        <w:t xml:space="preserve">    </w:t>
      </w:r>
    </w:p>
    <w:sectPr>
      <w:type w:val="nextPage"/>
      <w:pgSz w:w="11906" w:h="16838"/>
      <w:pgMar w:left="1531" w:right="1531"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center"/>
      <w:pPr>
        <w:tabs>
          <w:tab w:val="num" w:pos="0"/>
        </w:tabs>
        <w:ind w:left="0" w:firstLine="288"/>
      </w:pPr>
    </w:lvl>
    <w:lvl w:ilvl="1">
      <w:start w:val="1"/>
      <w:numFmt w:val="taiwaneseCountingThousand"/>
      <w:lvlText w:val="%2、"/>
      <w:lvlJc w:val="left"/>
      <w:pPr>
        <w:tabs>
          <w:tab w:val="num" w:pos="0"/>
        </w:tabs>
        <w:ind w:left="0" w:firstLine="607"/>
      </w:pPr>
    </w:lvl>
    <w:lvl w:ilvl="2">
      <w:start w:val="1"/>
      <w:numFmt w:val="decimal"/>
      <w:lvlText w:val="%3、"/>
      <w:lvlJc w:val="left"/>
      <w:pPr>
        <w:tabs>
          <w:tab w:val="num" w:pos="0"/>
        </w:tabs>
        <w:ind w:left="0" w:firstLine="624"/>
      </w:pPr>
    </w:lvl>
    <w:lvl w:ilvl="3">
      <w:start w:val="1"/>
      <w:numFmt w:val="decimal"/>
      <w:lvlText w:val="%4)"/>
      <w:lvlJc w:val="left"/>
      <w:pPr>
        <w:tabs>
          <w:tab w:val="num" w:pos="0"/>
        </w:tabs>
        <w:ind w:left="0" w:firstLine="607"/>
      </w:pPr>
    </w:lvl>
    <w:lvl w:ilvl="4">
      <w:start w:val="1"/>
      <w:numFmt w:val="decimal"/>
      <w:lvlText w:val="%5)"/>
      <w:lvlJc w:val="left"/>
      <w:pPr>
        <w:tabs>
          <w:tab w:val="num" w:pos="0"/>
        </w:tabs>
        <w:ind w:left="0" w:firstLine="624"/>
      </w:pPr>
    </w:lvl>
    <w:lvl w:ilvl="5">
      <w:start w:val="1"/>
      <w:numFmt w:val="lowerLetter"/>
      <w:lvlText w:val="%6)"/>
      <w:lvlJc w:val="left"/>
      <w:pPr>
        <w:tabs>
          <w:tab w:val="num" w:pos="1800"/>
        </w:tabs>
        <w:ind w:left="1800" w:hanging="360"/>
      </w:pPr>
    </w:lvl>
    <w:lvl w:ilvl="6">
      <w:start w:val="1"/>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widowControl/>
      <w:numPr>
        <w:ilvl w:val="0"/>
        <w:numId w:val="2"/>
      </w:numPr>
      <w:snapToGrid w:val="false"/>
      <w:spacing w:lineRule="exact" w:line="566" w:before="260" w:after="260"/>
      <w:jc w:val="center"/>
      <w:outlineLvl w:val="1"/>
    </w:pPr>
    <w:rPr>
      <w:rFonts w:ascii="Arial" w:hAnsi="Arial" w:eastAsia="永中黑体;Times New Roman" w:cs="Arial"/>
      <w:color w:val="000000"/>
      <w:sz w:val="32"/>
      <w:szCs w:val="20"/>
    </w:rPr>
  </w:style>
  <w:style w:type="character" w:styleId="Style13">
    <w:name w:val="默认段落字体"/>
    <w:qFormat/>
    <w:rPr/>
  </w:style>
  <w:style w:type="character" w:styleId="PageNumber">
    <w:name w:val="Page Number"/>
    <w:basedOn w:val="Style13"/>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Char2">
    <w:name w:val="文档结构图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文档结构图"/>
    <w:basedOn w:val="Normal"/>
    <w:qFormat/>
    <w:pPr/>
    <w:rPr>
      <w:rFonts w:ascii="宋体;SimSun" w:hAnsi="宋体;SimSun"/>
      <w:sz w:val="18"/>
      <w:szCs w:val="18"/>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4"/>
    <w:qFormat/>
    <w:pPr>
      <w:shd w:fill="000080" w:val="clear"/>
      <w:jc w:val="left"/>
    </w:pPr>
    <w:rPr>
      <w:rFonts w:ascii="Times New Roman" w:hAnsi="Times New Roman"/>
      <w:sz w:val="21"/>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二级标题"/>
    <w:basedOn w:val="Heading2"/>
    <w:qFormat/>
    <w:pPr>
      <w:numPr>
        <w:ilvl w:val="0"/>
        <w:numId w:val="2"/>
      </w:numPr>
      <w:spacing w:lineRule="auto" w:line="360" w:before="0" w:after="0"/>
      <w:ind w:firstLine="200" w:left="0" w:right="0"/>
      <w:jc w:val="center"/>
    </w:pPr>
    <w:rPr>
      <w:rFonts w:ascii="仿宋_GB2312;仿宋" w:hAnsi="仿宋_GB2312;仿宋" w:eastAsia="仿宋_GB2312;仿宋" w:cs="华文中宋"/>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2020-01-09T22:35:00Z</dcterms:created>
  <dc:creator>陶郁</dc:creator>
  <dc:description/>
  <cp:keywords/>
  <dc:language>zh-CN</dc:language>
  <cp:lastModifiedBy>IAlpaca</cp:lastModifiedBy>
  <dcterms:modified xsi:type="dcterms:W3CDTF">2020-01-09T22:35:00Z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