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9C7CC6">
      <w:pPr>
        <w:pStyle w:val="a7"/>
        <w:ind w:firstLineChars="0" w:firstLine="0"/>
        <w:rPr>
          <w:rFonts w:ascii="Times New Roman" w:hAnsi="Times New Roman"/>
        </w:rPr>
      </w:pPr>
      <w:r w:rsidRPr="000E6274">
        <w:rPr>
          <w:rFonts w:ascii="Times New Roman" w:hAnsi="Times New Roman"/>
        </w:rPr>
        <w:t>增值税会计核算办法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第一章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总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则</w:t>
      </w:r>
    </w:p>
    <w:p w:rsidR="00D21F2A" w:rsidRPr="000E6274" w:rsidRDefault="00D21F2A" w:rsidP="00D21F2A">
      <w:pPr>
        <w:spacing w:line="360" w:lineRule="auto"/>
        <w:jc w:val="both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622002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第一条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为规范本行</w:t>
      </w:r>
      <w:r w:rsidR="00622002">
        <w:rPr>
          <w:rFonts w:ascii="Times New Roman" w:eastAsia="仿宋_GB2312" w:hAnsi="Times New Roman" w:cs="Times New Roman"/>
          <w:sz w:val="28"/>
          <w:szCs w:val="28"/>
        </w:rPr>
        <w:t>增值税的会计核算，根据《企业会计准则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》</w:t>
      </w:r>
      <w:r w:rsidR="00622002">
        <w:rPr>
          <w:rFonts w:ascii="Times New Roman" w:eastAsia="仿宋_GB2312" w:hAnsi="Times New Roman" w:cs="Times New Roman" w:hint="eastAsia"/>
          <w:sz w:val="28"/>
          <w:szCs w:val="28"/>
        </w:rPr>
        <w:t>、</w:t>
      </w:r>
      <w:r w:rsidR="00622002" w:rsidRPr="00622002">
        <w:rPr>
          <w:rFonts w:ascii="Times New Roman" w:eastAsia="仿宋_GB2312" w:hAnsi="Times New Roman" w:cs="Times New Roman"/>
          <w:sz w:val="28"/>
          <w:szCs w:val="28"/>
        </w:rPr>
        <w:t>《增值税会计处理规定》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，结合本行实际，制定本办法。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第二章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ab/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增值税销项会计核算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第二条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计提贷款利息收入，会计分录为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借：应收利息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贷：利息收入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贷：应交税金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销项税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第三条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自结息日起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90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天内发生的应收利息需缴纳增值税，会计核算同上。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第四条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收到自结息日起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90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天后发生的应收利息，会计分录为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借：活期存款等科目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贷：利息收入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销项税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贷：表外应收利息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第五条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发生贴现业务，会计分录为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借：贴现资产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贷：活期存款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  <w:sectPr w:rsidR="00D21F2A" w:rsidRPr="000E6274">
          <w:pgSz w:w="11900" w:h="16838"/>
          <w:pgMar w:top="1440" w:right="1420" w:bottom="968" w:left="1580" w:header="0" w:footer="0" w:gutter="0"/>
          <w:cols w:space="0" w:equalWidth="0">
            <w:col w:w="8900"/>
          </w:cols>
          <w:docGrid w:linePitch="360"/>
        </w:sectPr>
      </w:pP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bookmarkStart w:id="0" w:name="page10"/>
      <w:bookmarkEnd w:id="0"/>
      <w:r w:rsidRPr="000E6274">
        <w:rPr>
          <w:rFonts w:ascii="Times New Roman" w:eastAsia="仿宋_GB2312" w:hAnsi="Times New Roman" w:cs="Times New Roman"/>
          <w:sz w:val="28"/>
          <w:szCs w:val="28"/>
        </w:rPr>
        <w:lastRenderedPageBreak/>
        <w:t>贷：贴现资产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—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利息调整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—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销项税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第六条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取得中间业务收入，会计分录为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借：活期存款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/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其他应付款等科目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贷：手续费及佣金收入等科目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—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销项税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第七条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按税法规定，视同销售需缴纳增值税，会计分录为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借：业务及管理费等科目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—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销项税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第八条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出售金融商品、贵金属，会计分录为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借：存放同业款项等科目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贷：投资收益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/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其他业务收入等科目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销项税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第九条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出租固定资产，收取租金时，会计分录为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借：存放同业款项等科目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贷：其他业务收入等科目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销项税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出售使用过的固定资产，会计分录为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借：固定资产清理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销项税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第三章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增值税进项会计核算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第十一条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购入应税劳务或资产，会计分录为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借：业务及管理费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/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手续费及佣金支出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/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固定资产等科目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进项税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bookmarkStart w:id="1" w:name="page11"/>
      <w:bookmarkEnd w:id="1"/>
      <w:r w:rsidRPr="000E6274">
        <w:rPr>
          <w:rFonts w:ascii="Times New Roman" w:eastAsia="仿宋_GB2312" w:hAnsi="Times New Roman" w:cs="Times New Roman"/>
          <w:sz w:val="28"/>
          <w:szCs w:val="28"/>
        </w:rPr>
        <w:t>贷：其他应付款等科目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第十二条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接受捐赠转入的资产，会计分录为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借：固定资产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/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无形资产等科目</w:t>
      </w:r>
    </w:p>
    <w:p w:rsidR="00D21F2A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进项税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贷：营业外收入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第十三条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购进允许抵扣进项税的不动产，会计分录为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借：固定资产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已认证待抵扣进项税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进项税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贷：其他应付款等科目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第二年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进项税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已认证待抵扣进项税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第十四条</w:t>
      </w:r>
      <w:r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对于不得从销项税额中抵扣的进项应转出，会计分录为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借：营业外支出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/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业务及管理费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/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待处理财产损溢等科目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进项税转出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第四章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购买增值税税控系统专用设备会计核算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第十五条</w:t>
      </w:r>
      <w:r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购买增值税税控系统专用设备，会计分录为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借：固定资产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贷：存放同业款项等科目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减免税款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贷：递延收益</w:t>
      </w:r>
    </w:p>
    <w:p w:rsidR="00D21F2A" w:rsidRPr="000C29E8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  <w:sectPr w:rsidR="00D21F2A" w:rsidRPr="000C29E8">
          <w:pgSz w:w="11900" w:h="16838"/>
          <w:pgMar w:top="1440" w:right="1580" w:bottom="968" w:left="1580" w:header="0" w:footer="0" w:gutter="0"/>
          <w:cols w:space="0" w:equalWidth="0">
            <w:col w:w="8740"/>
          </w:cols>
          <w:docGrid w:linePitch="360"/>
        </w:sect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按期计提折旧时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bookmarkStart w:id="2" w:name="page12"/>
      <w:bookmarkEnd w:id="2"/>
      <w:r w:rsidRPr="000E6274">
        <w:rPr>
          <w:rFonts w:ascii="Times New Roman" w:eastAsia="仿宋_GB2312" w:hAnsi="Times New Roman" w:cs="Times New Roman"/>
          <w:sz w:val="28"/>
          <w:szCs w:val="28"/>
        </w:rPr>
        <w:t>借：业务及管理费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贷：累计折旧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借：递延收益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贷：业务及管理费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第十六条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ab/>
      </w:r>
      <w:r w:rsidRPr="000E6274">
        <w:rPr>
          <w:rFonts w:ascii="Times New Roman" w:eastAsia="仿宋_GB2312" w:hAnsi="Times New Roman" w:cs="Times New Roman"/>
          <w:sz w:val="28"/>
          <w:szCs w:val="28"/>
        </w:rPr>
        <w:t>发生技术维护费时，会计分录为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借：业务及管理费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贷：存放同业款项等科目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减免税款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贷：业务及管理费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第五章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增值税缴纳会计核算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第十七条</w:t>
      </w:r>
      <w:r>
        <w:rPr>
          <w:rFonts w:ascii="Times New Roman" w:eastAsia="仿宋_GB2312" w:hAnsi="Times New Roman" w:cs="Times New Roman" w:hint="eastAsia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按季度计算应缴纳的增值税当季度为应交增值税，会计分录为</w:t>
      </w:r>
    </w:p>
    <w:p w:rsidR="00BE700C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转出未交增值税</w:t>
      </w:r>
    </w:p>
    <w:p w:rsidR="00D21F2A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未交增值税</w:t>
      </w:r>
    </w:p>
    <w:p w:rsidR="00D21F2A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当季度为多交增值税，会计分录为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未交增值税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转出多交增值税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第十八条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缴纳增值税，会计分录为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未交增值税</w:t>
      </w:r>
    </w:p>
    <w:p w:rsidR="00D21F2A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待交增值税款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应交增值税款</w:t>
      </w:r>
    </w:p>
    <w:p w:rsidR="00D21F2A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待交增值税款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应交增值税款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贷：存放同业款项等科目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第十九条</w:t>
      </w:r>
      <w:r>
        <w:rPr>
          <w:rFonts w:ascii="Times New Roman" w:eastAsia="仿宋_GB2312" w:hAnsi="Times New Roman" w:cs="Times New Roman" w:hint="eastAsia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 xml:space="preserve">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发生预缴增值税的，会计分录为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已交增值税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  <w:sectPr w:rsidR="00D21F2A" w:rsidRPr="000E6274">
          <w:pgSz w:w="11900" w:h="16838"/>
          <w:pgMar w:top="1440" w:right="3920" w:bottom="968" w:left="2180" w:header="0" w:footer="0" w:gutter="0"/>
          <w:cols w:space="0" w:equalWidth="0">
            <w:col w:w="5800"/>
          </w:cols>
          <w:docGrid w:linePitch="360"/>
        </w:sectPr>
      </w:pP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bookmarkStart w:id="3" w:name="page13"/>
      <w:bookmarkEnd w:id="3"/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待交增值税款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已交增值税款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待交增值税款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已交增值税款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贷：存放同业款项等科目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第六章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增值税纳税检查调整会计核算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第二十条</w:t>
      </w:r>
      <w:r>
        <w:rPr>
          <w:rFonts w:ascii="Times New Roman" w:eastAsia="仿宋_GB2312" w:hAnsi="Times New Roman" w:cs="Times New Roman"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纳税检查后应调减进项税额或调增销项税额的，会计分录为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借：业务及管理费等科目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增值税特别调整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纳税检查调整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第二十一条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ab/>
      </w:r>
      <w:r w:rsidRPr="000E6274">
        <w:rPr>
          <w:rFonts w:ascii="Times New Roman" w:eastAsia="仿宋_GB2312" w:hAnsi="Times New Roman" w:cs="Times New Roman"/>
          <w:sz w:val="28"/>
          <w:szCs w:val="28"/>
        </w:rPr>
        <w:t>纳税检查后应调增进项税额或调减销项税额的，会计分录为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增值税特别调整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纳税检查调整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贷：利息收入等科目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第二十二条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ab/>
      </w:r>
      <w:r w:rsidRPr="000E6274">
        <w:rPr>
          <w:rFonts w:ascii="Times New Roman" w:eastAsia="仿宋_GB2312" w:hAnsi="Times New Roman" w:cs="Times New Roman"/>
          <w:sz w:val="28"/>
          <w:szCs w:val="28"/>
        </w:rPr>
        <w:t>全部调账事项入账后，对科目余额进行结转，会计分录为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1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）若科目余额在借方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进项税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增值税特别调整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纳税检查调整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2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）若科目余额在贷方，且应交增值税科目无余额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增值税特别调整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纳税检查调整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未交增值税</w:t>
      </w:r>
    </w:p>
    <w:p w:rsidR="00D21F2A" w:rsidRPr="000E6274" w:rsidRDefault="00D21F2A" w:rsidP="00D21F2A">
      <w:pPr>
        <w:spacing w:line="360" w:lineRule="auto"/>
        <w:ind w:firstLineChars="200" w:firstLine="560"/>
        <w:jc w:val="both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3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）若科目余额在贷方，应交增值税科目有借方余额且等于或大于该余额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增值税特别调整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纳税检查调整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应交增值税有关科目借方余额科目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  <w:sectPr w:rsidR="00D21F2A" w:rsidRPr="000E6274">
          <w:pgSz w:w="11900" w:h="16838"/>
          <w:pgMar w:top="1440" w:right="1580" w:bottom="968" w:left="1580" w:header="0" w:footer="0" w:gutter="0"/>
          <w:cols w:space="0" w:equalWidth="0">
            <w:col w:w="8740"/>
          </w:cols>
          <w:docGrid w:linePitch="360"/>
        </w:sectPr>
      </w:pP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  <w:bookmarkStart w:id="4" w:name="page14"/>
      <w:bookmarkEnd w:id="4"/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4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）若科目余额在贷方，应交增值税科目有借方余额且小于该余额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借：应交税费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增值税特别调整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纳税检查调整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未交增值税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贷：应交税费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-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应交增值税有关科目借方余额科目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jc w:val="center"/>
        <w:rPr>
          <w:rFonts w:ascii="Times New Roman" w:eastAsia="仿宋_GB2312" w:hAnsi="Times New Roman" w:cs="Times New Roman"/>
          <w:b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第七章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 xml:space="preserve">  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附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ab/>
        <w:t xml:space="preserve">  </w:t>
      </w:r>
      <w:r w:rsidRPr="000E6274">
        <w:rPr>
          <w:rFonts w:ascii="Times New Roman" w:eastAsia="仿宋_GB2312" w:hAnsi="Times New Roman" w:cs="Times New Roman"/>
          <w:b/>
          <w:sz w:val="28"/>
          <w:szCs w:val="28"/>
        </w:rPr>
        <w:t>则</w:t>
      </w:r>
    </w:p>
    <w:p w:rsidR="00D21F2A" w:rsidRPr="000E6274" w:rsidRDefault="00D21F2A" w:rsidP="00D21F2A">
      <w:pPr>
        <w:spacing w:line="360" w:lineRule="auto"/>
        <w:rPr>
          <w:rFonts w:ascii="Times New Roman" w:eastAsia="仿宋_GB2312" w:hAnsi="Times New Roman" w:cs="Times New Roman"/>
          <w:sz w:val="28"/>
          <w:szCs w:val="28"/>
        </w:rPr>
      </w:pP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第二十三条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ab/>
      </w:r>
      <w:r w:rsidRPr="000E6274">
        <w:rPr>
          <w:rFonts w:ascii="Times New Roman" w:eastAsia="仿宋_GB2312" w:hAnsi="Times New Roman" w:cs="Times New Roman"/>
          <w:sz w:val="28"/>
          <w:szCs w:val="28"/>
        </w:rPr>
        <w:t>本办法由</w:t>
      </w:r>
      <w:r w:rsidR="00632495">
        <w:rPr>
          <w:rFonts w:ascii="Times New Roman" w:eastAsia="仿宋_GB2312" w:hAnsi="Times New Roman" w:cs="Times New Roman" w:hint="eastAsia"/>
          <w:sz w:val="28"/>
          <w:szCs w:val="28"/>
        </w:rPr>
        <w:t>本行</w:t>
      </w:r>
      <w:bookmarkStart w:id="5" w:name="_GoBack"/>
      <w:bookmarkEnd w:id="5"/>
      <w:r w:rsidR="009C7CC6">
        <w:rPr>
          <w:rFonts w:ascii="Times New Roman" w:eastAsia="仿宋_GB2312" w:hAnsi="Times New Roman" w:cs="Times New Roman"/>
          <w:sz w:val="28"/>
          <w:szCs w:val="28"/>
        </w:rPr>
        <w:t>计划财务部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负责</w:t>
      </w:r>
      <w:r w:rsidR="009C7CC6">
        <w:rPr>
          <w:rFonts w:ascii="Times New Roman" w:eastAsia="仿宋_GB2312" w:hAnsi="Times New Roman" w:cs="Times New Roman" w:hint="eastAsia"/>
          <w:sz w:val="28"/>
          <w:szCs w:val="28"/>
        </w:rPr>
        <w:t>解释</w:t>
      </w:r>
      <w:r w:rsidR="00F90780">
        <w:rPr>
          <w:rFonts w:ascii="Times New Roman" w:eastAsia="仿宋_GB2312" w:hAnsi="Times New Roman" w:cs="Times New Roman" w:hint="eastAsia"/>
          <w:sz w:val="28"/>
          <w:szCs w:val="28"/>
        </w:rPr>
        <w:t>和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修订。</w:t>
      </w:r>
    </w:p>
    <w:p w:rsidR="00D21F2A" w:rsidRPr="000E6274" w:rsidRDefault="00D21F2A" w:rsidP="00D21F2A">
      <w:pPr>
        <w:spacing w:line="360" w:lineRule="auto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 w:rsidRPr="000E6274">
        <w:rPr>
          <w:rFonts w:ascii="Times New Roman" w:eastAsia="仿宋_GB2312" w:hAnsi="Times New Roman" w:cs="Times New Roman"/>
          <w:sz w:val="28"/>
          <w:szCs w:val="28"/>
        </w:rPr>
        <w:t>第二十四条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ab/>
      </w:r>
      <w:r w:rsidRPr="000E6274">
        <w:rPr>
          <w:rFonts w:ascii="Times New Roman" w:eastAsia="仿宋_GB2312" w:hAnsi="Times New Roman" w:cs="Times New Roman"/>
          <w:sz w:val="28"/>
          <w:szCs w:val="28"/>
        </w:rPr>
        <w:t>本办法</w:t>
      </w:r>
      <w:r w:rsidR="00F90780">
        <w:rPr>
          <w:rFonts w:eastAsia="仿宋_GB2312" w:hint="eastAsia"/>
          <w:sz w:val="28"/>
          <w:szCs w:val="28"/>
        </w:rPr>
        <w:t>自发文之日起施行</w:t>
      </w:r>
      <w:r w:rsidRPr="000E6274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3378DB" w:rsidRPr="00D21F2A" w:rsidRDefault="003378DB"/>
    <w:sectPr w:rsidR="003378DB" w:rsidRPr="00D21F2A">
      <w:pgSz w:w="11900" w:h="16838"/>
      <w:pgMar w:top="1440" w:right="1380" w:bottom="968" w:left="1580" w:header="0" w:footer="0" w:gutter="0"/>
      <w:cols w:space="0" w:equalWidth="0">
        <w:col w:w="89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60F" w:rsidRDefault="00A7660F" w:rsidP="00D21F2A">
      <w:r>
        <w:separator/>
      </w:r>
    </w:p>
  </w:endnote>
  <w:endnote w:type="continuationSeparator" w:id="0">
    <w:p w:rsidR="00A7660F" w:rsidRDefault="00A7660F" w:rsidP="00D21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60F" w:rsidRDefault="00A7660F" w:rsidP="00D21F2A">
      <w:r>
        <w:separator/>
      </w:r>
    </w:p>
  </w:footnote>
  <w:footnote w:type="continuationSeparator" w:id="0">
    <w:p w:rsidR="00A7660F" w:rsidRDefault="00A7660F" w:rsidP="00D21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63"/>
    <w:rsid w:val="00237763"/>
    <w:rsid w:val="003378DB"/>
    <w:rsid w:val="004D4588"/>
    <w:rsid w:val="00521228"/>
    <w:rsid w:val="00622002"/>
    <w:rsid w:val="00632495"/>
    <w:rsid w:val="008D6A79"/>
    <w:rsid w:val="009C7CC6"/>
    <w:rsid w:val="00A7660F"/>
    <w:rsid w:val="00A92B02"/>
    <w:rsid w:val="00B7372F"/>
    <w:rsid w:val="00BE700C"/>
    <w:rsid w:val="00D21F2A"/>
    <w:rsid w:val="00F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BE875"/>
  <w15:chartTrackingRefBased/>
  <w15:docId w15:val="{8504BECD-D8E3-4F8D-9AD5-8FB712E1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_GB2312" w:eastAsia="仿宋_GB2312" w:hAnsi="仿宋" w:cs="仿宋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F2A"/>
    <w:rPr>
      <w:rFonts w:ascii="Calibri" w:eastAsia="宋体" w:hAnsi="Calibri" w:cs="Arial"/>
      <w:kern w:val="0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F2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仿宋" w:cs="仿宋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F2A"/>
    <w:pPr>
      <w:widowControl w:val="0"/>
      <w:tabs>
        <w:tab w:val="center" w:pos="4153"/>
        <w:tab w:val="right" w:pos="8306"/>
      </w:tabs>
      <w:snapToGrid w:val="0"/>
    </w:pPr>
    <w:rPr>
      <w:rFonts w:ascii="仿宋_GB2312" w:eastAsia="仿宋_GB2312" w:hAnsi="仿宋" w:cs="仿宋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F2A"/>
    <w:rPr>
      <w:sz w:val="18"/>
      <w:szCs w:val="18"/>
    </w:rPr>
  </w:style>
  <w:style w:type="paragraph" w:customStyle="1" w:styleId="a7">
    <w:name w:val="二级标题"/>
    <w:basedOn w:val="2"/>
    <w:qFormat/>
    <w:rsid w:val="009C7CC6"/>
    <w:pPr>
      <w:widowControl w:val="0"/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kern w:val="2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C7CC6"/>
    <w:rPr>
      <w:rFonts w:asciiTheme="majorHAnsi" w:eastAsiaTheme="majorEastAsia" w:hAnsiTheme="majorHAnsi" w:cstheme="majorBidi"/>
      <w:b/>
      <w:bCs/>
      <w:kern w:val="0"/>
    </w:rPr>
  </w:style>
  <w:style w:type="paragraph" w:styleId="a8">
    <w:name w:val="List Paragraph"/>
    <w:basedOn w:val="a"/>
    <w:uiPriority w:val="34"/>
    <w:qFormat/>
    <w:rsid w:val="00622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suncn</dc:creator>
  <cp:keywords/>
  <dc:description/>
  <cp:lastModifiedBy>ding shu</cp:lastModifiedBy>
  <cp:revision>8</cp:revision>
  <dcterms:created xsi:type="dcterms:W3CDTF">2017-03-31T03:33:00Z</dcterms:created>
  <dcterms:modified xsi:type="dcterms:W3CDTF">2020-01-08T12:21:00Z</dcterms:modified>
</cp:coreProperties>
</file>