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15D1" w14:textId="77777777" w:rsidR="000D60CF" w:rsidRPr="00A730AA" w:rsidRDefault="000D60CF" w:rsidP="00E914AA">
      <w:pPr>
        <w:pStyle w:val="1"/>
        <w:spacing w:before="0" w:after="0" w:line="360" w:lineRule="auto"/>
        <w:jc w:val="center"/>
        <w:rPr>
          <w:rFonts w:ascii="仿宋_GB2312" w:eastAsia="仿宋_GB2312"/>
          <w:sz w:val="28"/>
          <w:szCs w:val="28"/>
        </w:rPr>
      </w:pPr>
      <w:r w:rsidRPr="00A730AA">
        <w:rPr>
          <w:rFonts w:ascii="仿宋_GB2312" w:eastAsia="仿宋_GB2312" w:hint="eastAsia"/>
          <w:sz w:val="28"/>
          <w:szCs w:val="28"/>
        </w:rPr>
        <w:t>资本管理办法（试行）</w:t>
      </w:r>
    </w:p>
    <w:p w14:paraId="38CAC0B4"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第一章</w:t>
      </w:r>
      <w:r w:rsidRPr="00A730AA">
        <w:rPr>
          <w:rFonts w:ascii="仿宋_GB2312" w:eastAsia="仿宋_GB2312"/>
          <w:b/>
          <w:sz w:val="28"/>
          <w:szCs w:val="28"/>
        </w:rPr>
        <w:t xml:space="preserve">  </w:t>
      </w:r>
      <w:r w:rsidRPr="00A730AA">
        <w:rPr>
          <w:rFonts w:ascii="仿宋_GB2312" w:eastAsia="仿宋_GB2312" w:hint="eastAsia"/>
          <w:b/>
          <w:sz w:val="28"/>
          <w:szCs w:val="28"/>
        </w:rPr>
        <w:t>总则</w:t>
      </w:r>
    </w:p>
    <w:p w14:paraId="554F81B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第一条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为进一步提升本行资本管理的科学性和有效性，全面提高资本抵御风险和支持经营管理的能力，根据《商业银行公司治理指引》、《商业银行资本管理办法（试行）》（以下简称《资本办法》）等法律法规、行政规章以及《</w:t>
      </w:r>
      <w:r w:rsidR="00220A60">
        <w:rPr>
          <w:rFonts w:ascii="仿宋_GB2312" w:eastAsia="仿宋_GB2312"/>
          <w:sz w:val="28"/>
          <w:szCs w:val="28"/>
        </w:rPr>
        <w:t>xxx</w:t>
      </w:r>
      <w:r w:rsidRPr="00A730AA">
        <w:rPr>
          <w:rFonts w:ascii="仿宋_GB2312" w:eastAsia="仿宋_GB2312" w:hint="eastAsia"/>
          <w:sz w:val="28"/>
          <w:szCs w:val="28"/>
        </w:rPr>
        <w:t>银行股份有限公司章程》的规定，制定本办法。</w:t>
      </w:r>
      <w:r w:rsidRPr="00A730AA">
        <w:rPr>
          <w:rFonts w:ascii="仿宋_GB2312" w:eastAsia="仿宋_GB2312"/>
          <w:sz w:val="28"/>
          <w:szCs w:val="28"/>
        </w:rPr>
        <w:t xml:space="preserve"> </w:t>
      </w:r>
    </w:p>
    <w:p w14:paraId="662F6E5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本行资本应抵御所面临风险，包括个体风险和系统性风险。</w:t>
      </w:r>
      <w:r w:rsidRPr="00A730AA">
        <w:rPr>
          <w:rFonts w:ascii="仿宋_GB2312" w:eastAsia="仿宋_GB2312"/>
          <w:sz w:val="28"/>
          <w:szCs w:val="28"/>
        </w:rPr>
        <w:t xml:space="preserve"> </w:t>
      </w:r>
    </w:p>
    <w:p w14:paraId="44A9EAC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本办法所称资本充足率，是指本行持有的符合《资本办法》规定的资本与风险加权资产之间的比率。</w:t>
      </w:r>
      <w:r w:rsidRPr="00A730AA">
        <w:rPr>
          <w:rFonts w:ascii="仿宋_GB2312" w:eastAsia="仿宋_GB2312"/>
          <w:sz w:val="28"/>
          <w:szCs w:val="28"/>
        </w:rPr>
        <w:t xml:space="preserve"> </w:t>
      </w:r>
    </w:p>
    <w:p w14:paraId="45A0E44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一级资本充足率，是指本行持有的符合《资本办法》规定的一级资本与风险加权资产之间的比率。</w:t>
      </w:r>
      <w:r w:rsidRPr="00A730AA">
        <w:rPr>
          <w:rFonts w:ascii="仿宋_GB2312" w:eastAsia="仿宋_GB2312"/>
          <w:sz w:val="28"/>
          <w:szCs w:val="28"/>
        </w:rPr>
        <w:t xml:space="preserve"> </w:t>
      </w:r>
    </w:p>
    <w:p w14:paraId="4863628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核心一级资本充足率，是指本行持有的符合《资本办法》规定的核心一级资本与风险加权资产之间的比率。</w:t>
      </w:r>
      <w:r w:rsidRPr="00A730AA">
        <w:rPr>
          <w:rFonts w:ascii="仿宋_GB2312" w:eastAsia="仿宋_GB2312"/>
          <w:sz w:val="28"/>
          <w:szCs w:val="28"/>
        </w:rPr>
        <w:t xml:space="preserve"> </w:t>
      </w:r>
    </w:p>
    <w:p w14:paraId="27C76E8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本行按照《资本办法》规定计算并表和未并表的资本充足率，本行资本充足率计算建立在充分计提贷款损失准备等各项减值准备的基础之上。</w:t>
      </w:r>
      <w:r w:rsidRPr="00A730AA">
        <w:rPr>
          <w:rFonts w:ascii="仿宋_GB2312" w:eastAsia="仿宋_GB2312"/>
          <w:sz w:val="28"/>
          <w:szCs w:val="28"/>
        </w:rPr>
        <w:t xml:space="preserve"> </w:t>
      </w:r>
    </w:p>
    <w:p w14:paraId="28E7B4D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第五条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本行按照《资本办法》的规定建立全面风险管理架构和内部资本充足评估程序。</w:t>
      </w:r>
      <w:r w:rsidRPr="00A730AA">
        <w:rPr>
          <w:rFonts w:ascii="仿宋_GB2312" w:eastAsia="仿宋_GB2312"/>
          <w:sz w:val="28"/>
          <w:szCs w:val="28"/>
        </w:rPr>
        <w:t xml:space="preserve"> </w:t>
      </w:r>
    </w:p>
    <w:p w14:paraId="5C12663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第六条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本行按照《资本办法》的规定披露资本充足率信息。</w:t>
      </w:r>
      <w:r w:rsidR="00290DE9" w:rsidRPr="00A730AA">
        <w:rPr>
          <w:rFonts w:ascii="仿宋_GB2312" w:eastAsia="仿宋_GB2312"/>
          <w:sz w:val="28"/>
          <w:szCs w:val="28"/>
        </w:rPr>
        <w:t xml:space="preserve"> </w:t>
      </w:r>
    </w:p>
    <w:p w14:paraId="48E917D6"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第二章</w:t>
      </w:r>
      <w:r w:rsidRPr="00A730AA">
        <w:rPr>
          <w:rFonts w:ascii="仿宋_GB2312" w:eastAsia="仿宋_GB2312"/>
          <w:b/>
          <w:sz w:val="28"/>
          <w:szCs w:val="28"/>
        </w:rPr>
        <w:t xml:space="preserve"> </w:t>
      </w:r>
      <w:r w:rsidR="00A730AA">
        <w:rPr>
          <w:rFonts w:ascii="仿宋_GB2312" w:eastAsia="仿宋_GB2312"/>
          <w:b/>
          <w:sz w:val="28"/>
          <w:szCs w:val="28"/>
        </w:rPr>
        <w:t xml:space="preserve"> </w:t>
      </w:r>
      <w:r w:rsidRPr="00A730AA">
        <w:rPr>
          <w:rFonts w:ascii="仿宋_GB2312" w:eastAsia="仿宋_GB2312" w:hint="eastAsia"/>
          <w:b/>
          <w:sz w:val="28"/>
          <w:szCs w:val="28"/>
        </w:rPr>
        <w:t>治理结构</w:t>
      </w:r>
    </w:p>
    <w:p w14:paraId="3144593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第七条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本行董事会承担资本管理的首要责任，履行以下职责：</w:t>
      </w:r>
      <w:r w:rsidRPr="00A730AA">
        <w:rPr>
          <w:rFonts w:ascii="仿宋_GB2312" w:eastAsia="仿宋_GB2312"/>
          <w:sz w:val="28"/>
          <w:szCs w:val="28"/>
        </w:rPr>
        <w:t xml:space="preserve"> </w:t>
      </w:r>
    </w:p>
    <w:p w14:paraId="2620539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（一）设定与本行发展战略和外部环境相适应的风险偏好和资本充足目标，审批内部资本充足评估程序，确保资本充分覆盖主要风险；</w:t>
      </w:r>
      <w:r w:rsidRPr="00A730AA">
        <w:rPr>
          <w:rFonts w:ascii="仿宋_GB2312" w:eastAsia="仿宋_GB2312"/>
          <w:sz w:val="28"/>
          <w:szCs w:val="28"/>
        </w:rPr>
        <w:t xml:space="preserve"> </w:t>
      </w:r>
    </w:p>
    <w:p w14:paraId="4133F7A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（二）审批资本管理制度，确保资本管理政策和控制措施有效；</w:t>
      </w:r>
      <w:r w:rsidRPr="00A730AA">
        <w:rPr>
          <w:rFonts w:ascii="仿宋_GB2312" w:eastAsia="仿宋_GB2312"/>
          <w:sz w:val="28"/>
          <w:szCs w:val="28"/>
        </w:rPr>
        <w:t xml:space="preserve"> </w:t>
      </w:r>
    </w:p>
    <w:p w14:paraId="01B0070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（三）监督内部资本充足评估程序的全面性、前瞻性和有效性；</w:t>
      </w:r>
      <w:r w:rsidRPr="00A730AA">
        <w:rPr>
          <w:rFonts w:ascii="仿宋_GB2312" w:eastAsia="仿宋_GB2312"/>
          <w:sz w:val="28"/>
          <w:szCs w:val="28"/>
        </w:rPr>
        <w:t xml:space="preserve"> </w:t>
      </w:r>
    </w:p>
    <w:p w14:paraId="59095C39"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lastRenderedPageBreak/>
        <w:t>（四）审批并监督实施资本规划，满足本行持续经营和应急性资本补充需要；</w:t>
      </w:r>
      <w:r w:rsidRPr="00A730AA">
        <w:rPr>
          <w:rFonts w:ascii="仿宋_GB2312" w:eastAsia="仿宋_GB2312"/>
          <w:sz w:val="28"/>
          <w:szCs w:val="28"/>
        </w:rPr>
        <w:t xml:space="preserve"> </w:t>
      </w:r>
    </w:p>
    <w:p w14:paraId="5723CCA7"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（五）至少每年一次审批资本充足率管理计划，审议资本充足率管理报告及内部资本充足评估报告，听取对资本充足率管理和内部资本充足评估程序执行情况的审计报告；</w:t>
      </w:r>
      <w:r w:rsidRPr="00A730AA">
        <w:rPr>
          <w:rFonts w:ascii="仿宋_GB2312" w:eastAsia="仿宋_GB2312"/>
          <w:sz w:val="28"/>
          <w:szCs w:val="28"/>
        </w:rPr>
        <w:t xml:space="preserve"> </w:t>
      </w:r>
    </w:p>
    <w:p w14:paraId="136EFA4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（六）审批资本充足率信息披露政策、程序和内容，并保证披露信息的真实、准确和完整；</w:t>
      </w:r>
      <w:r w:rsidRPr="00A730AA">
        <w:rPr>
          <w:rFonts w:ascii="仿宋_GB2312" w:eastAsia="仿宋_GB2312"/>
          <w:sz w:val="28"/>
          <w:szCs w:val="28"/>
        </w:rPr>
        <w:t xml:space="preserve"> </w:t>
      </w:r>
    </w:p>
    <w:p w14:paraId="23839CC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（七）确保本行有足够的资源，能够独立、有效地开展资本管理工作。</w:t>
      </w:r>
      <w:r w:rsidRPr="00A730AA">
        <w:rPr>
          <w:rFonts w:ascii="仿宋_GB2312" w:eastAsia="仿宋_GB2312"/>
          <w:sz w:val="28"/>
          <w:szCs w:val="28"/>
        </w:rPr>
        <w:t xml:space="preserve"> </w:t>
      </w:r>
    </w:p>
    <w:p w14:paraId="0B22603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第八条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本行高级管理层负责根据业务战略和风险偏好组织实施资本管理工作，确保资本与业务发展和风险水平相适应，落实各项监控措施。具体履行以下职责：</w:t>
      </w:r>
    </w:p>
    <w:p w14:paraId="40D2540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（一）制定并组织执行资本管理的规章制度；</w:t>
      </w:r>
      <w:r w:rsidRPr="00A730AA">
        <w:rPr>
          <w:rFonts w:ascii="仿宋_GB2312" w:eastAsia="仿宋_GB2312"/>
          <w:sz w:val="28"/>
          <w:szCs w:val="28"/>
        </w:rPr>
        <w:t xml:space="preserve"> </w:t>
      </w:r>
    </w:p>
    <w:p w14:paraId="5FEF85C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（二）制定并组织实施内部资本充足评估程序，明确相关部门的职责分工，建立健全评估框架、流程和管理制度，确保与本行全面风险管理、资本计量及分配等保持一致；</w:t>
      </w:r>
      <w:r w:rsidRPr="00A730AA">
        <w:rPr>
          <w:rFonts w:ascii="仿宋_GB2312" w:eastAsia="仿宋_GB2312"/>
          <w:sz w:val="28"/>
          <w:szCs w:val="28"/>
        </w:rPr>
        <w:t xml:space="preserve"> </w:t>
      </w:r>
    </w:p>
    <w:p w14:paraId="02EB5A2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（三）制定和组织实施资本规划和资本充足率管理计划；</w:t>
      </w:r>
      <w:r w:rsidRPr="00A730AA">
        <w:rPr>
          <w:rFonts w:ascii="仿宋_GB2312" w:eastAsia="仿宋_GB2312"/>
          <w:sz w:val="28"/>
          <w:szCs w:val="28"/>
        </w:rPr>
        <w:t xml:space="preserve"> </w:t>
      </w:r>
    </w:p>
    <w:p w14:paraId="19EECC4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（四）定期和不定期评估资本充足率，向董事会报告资本充足率水平、资本充足率管理情况和内部资本充足评估结果；</w:t>
      </w:r>
      <w:r w:rsidRPr="00A730AA">
        <w:rPr>
          <w:rFonts w:ascii="仿宋_GB2312" w:eastAsia="仿宋_GB2312"/>
          <w:sz w:val="28"/>
          <w:szCs w:val="28"/>
        </w:rPr>
        <w:t xml:space="preserve"> </w:t>
      </w:r>
    </w:p>
    <w:p w14:paraId="7920BE6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（五）组织开展压力测试，参与压力测试目标、方案及重要假设的确定，推动压力测试结果在风险评估和资本规划中的运用，确保资本应急补充机制的有效性；</w:t>
      </w:r>
      <w:r w:rsidRPr="00A730AA">
        <w:rPr>
          <w:rFonts w:ascii="仿宋_GB2312" w:eastAsia="仿宋_GB2312"/>
          <w:sz w:val="28"/>
          <w:szCs w:val="28"/>
        </w:rPr>
        <w:t xml:space="preserve"> </w:t>
      </w:r>
    </w:p>
    <w:p w14:paraId="78346B3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（六）组织内部资本充足评估信息管理系统的开发和维护工作，确保信息管理系统能及时、准确提供评估所需信息；</w:t>
      </w:r>
      <w:r w:rsidRPr="00A730AA">
        <w:rPr>
          <w:rFonts w:ascii="仿宋_GB2312" w:eastAsia="仿宋_GB2312"/>
          <w:sz w:val="28"/>
          <w:szCs w:val="28"/>
        </w:rPr>
        <w:t xml:space="preserve"> </w:t>
      </w:r>
    </w:p>
    <w:p w14:paraId="0E03523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（七）组织制定资本充足率信息披露政策、披露程序和披露内容，及时将拟披露的信息提交董事会审议；</w:t>
      </w:r>
      <w:r w:rsidRPr="00A730AA">
        <w:rPr>
          <w:rFonts w:ascii="仿宋_GB2312" w:eastAsia="仿宋_GB2312"/>
          <w:sz w:val="28"/>
          <w:szCs w:val="28"/>
        </w:rPr>
        <w:t xml:space="preserve"> </w:t>
      </w:r>
    </w:p>
    <w:p w14:paraId="3074D07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（八）充分理解压力条件下本行所面临的风险及风险间的相互作用、资</w:t>
      </w:r>
      <w:r w:rsidRPr="00A730AA">
        <w:rPr>
          <w:rFonts w:ascii="仿宋_GB2312" w:eastAsia="仿宋_GB2312" w:hint="eastAsia"/>
          <w:sz w:val="28"/>
          <w:szCs w:val="28"/>
        </w:rPr>
        <w:lastRenderedPageBreak/>
        <w:t>本工具吸收损失和支持业务持续运营的能力，并判断资本管理目标、资本补充政策安排和应对措施的合理性。</w:t>
      </w:r>
      <w:r w:rsidRPr="00A730AA">
        <w:rPr>
          <w:rFonts w:ascii="仿宋_GB2312" w:eastAsia="仿宋_GB2312"/>
          <w:sz w:val="28"/>
          <w:szCs w:val="28"/>
        </w:rPr>
        <w:t xml:space="preserve"> </w:t>
      </w:r>
    </w:p>
    <w:p w14:paraId="0C6EDEB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第九条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本行监事会负责对董事会及高级管理层在资本管理中的履职情况进行监督评价，并至少每年一次向股东大会报告董事会及高级管理层的履职情况。</w:t>
      </w:r>
      <w:r w:rsidRPr="00A730AA">
        <w:rPr>
          <w:rFonts w:ascii="仿宋_GB2312" w:eastAsia="仿宋_GB2312"/>
          <w:sz w:val="28"/>
          <w:szCs w:val="28"/>
        </w:rPr>
        <w:t xml:space="preserve"> </w:t>
      </w:r>
    </w:p>
    <w:p w14:paraId="1463F39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本行计划财务部为资本管理部门，主要负责：</w:t>
      </w:r>
      <w:r w:rsidRPr="00A730AA">
        <w:rPr>
          <w:rFonts w:ascii="仿宋_GB2312" w:eastAsia="仿宋_GB2312"/>
          <w:sz w:val="28"/>
          <w:szCs w:val="28"/>
        </w:rPr>
        <w:t xml:space="preserve"> </w:t>
      </w:r>
    </w:p>
    <w:p w14:paraId="5985D10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（一）根据高级管理层授权拟定并适时更新本行资本管理政策和规章制度，统筹推进资本管理体系的建设完善；</w:t>
      </w:r>
      <w:r w:rsidRPr="00A730AA">
        <w:rPr>
          <w:rFonts w:ascii="仿宋_GB2312" w:eastAsia="仿宋_GB2312"/>
          <w:sz w:val="28"/>
          <w:szCs w:val="28"/>
        </w:rPr>
        <w:t xml:space="preserve"> </w:t>
      </w:r>
    </w:p>
    <w:p w14:paraId="7DB0270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（二）制订资本总量、结构和质量管理计划，编制并实施资本规划和资本充足率管理计划，向高级管理层报告资本规划和资本充足率管理计划执行情况；</w:t>
      </w:r>
      <w:r w:rsidRPr="00A730AA">
        <w:rPr>
          <w:rFonts w:ascii="仿宋_GB2312" w:eastAsia="仿宋_GB2312"/>
          <w:sz w:val="28"/>
          <w:szCs w:val="28"/>
        </w:rPr>
        <w:t xml:space="preserve"> </w:t>
      </w:r>
    </w:p>
    <w:p w14:paraId="69D6D1B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（三）持续监控并定期测算资本充足率水平，组织开展资本充足率压力测试，动态监测资本规划、资本配置的执行情况，定期编制资本监控报告；</w:t>
      </w:r>
      <w:r w:rsidRPr="00A730AA">
        <w:rPr>
          <w:rFonts w:ascii="仿宋_GB2312" w:eastAsia="仿宋_GB2312"/>
          <w:sz w:val="28"/>
          <w:szCs w:val="28"/>
        </w:rPr>
        <w:t xml:space="preserve"> </w:t>
      </w:r>
    </w:p>
    <w:p w14:paraId="7138827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（四）组织建立内部资本计量、配置和风险调整资本收益的评价管理体系；</w:t>
      </w:r>
      <w:r w:rsidRPr="00A730AA">
        <w:rPr>
          <w:rFonts w:ascii="仿宋_GB2312" w:eastAsia="仿宋_GB2312"/>
          <w:sz w:val="28"/>
          <w:szCs w:val="28"/>
        </w:rPr>
        <w:t xml:space="preserve"> </w:t>
      </w:r>
    </w:p>
    <w:p w14:paraId="1FF119E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五）牵头组织实施本行内部资本充足评估程序，拟定并适时更新相关制度规范和工作流程，结合压力测试结果拟定资本充足率目标，组织编制内部资本充足评估报告、相关监管报送文件，定期提交高级管理层及董事会审议；</w:t>
      </w:r>
      <w:r w:rsidRPr="00A730AA">
        <w:rPr>
          <w:rFonts w:ascii="仿宋_GB2312" w:eastAsia="仿宋_GB2312"/>
          <w:sz w:val="28"/>
          <w:szCs w:val="28"/>
        </w:rPr>
        <w:t xml:space="preserve"> </w:t>
      </w:r>
    </w:p>
    <w:p w14:paraId="7F7B2EF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（六）建立资本应急补充机制，组织实施资本筹集，并向高级管理层报告资本应急补充机制的执行情况；</w:t>
      </w:r>
      <w:r w:rsidRPr="00A730AA">
        <w:rPr>
          <w:rFonts w:ascii="仿宋_GB2312" w:eastAsia="仿宋_GB2312"/>
          <w:sz w:val="28"/>
          <w:szCs w:val="28"/>
        </w:rPr>
        <w:t xml:space="preserve"> </w:t>
      </w:r>
    </w:p>
    <w:p w14:paraId="33C4E21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（七）牵头组织实施资本充足率信息披露工作，拟定并适时更新相关政策，建立并完善披露机制和程序，规范披露内容，组织编制披露材料；</w:t>
      </w:r>
      <w:r w:rsidRPr="00A730AA">
        <w:rPr>
          <w:rFonts w:ascii="仿宋_GB2312" w:eastAsia="仿宋_GB2312"/>
          <w:sz w:val="28"/>
          <w:szCs w:val="28"/>
        </w:rPr>
        <w:t xml:space="preserve"> </w:t>
      </w:r>
    </w:p>
    <w:p w14:paraId="23216C3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八）牵头组织建立用于资本计量和管理的信息管理系统，确保系统能够及时和准确的提供资本、风险加权资产和资本充足率计量与管理、资本充足率水平监测、内部资本充足评估及资本充足率信息披露所需信息。</w:t>
      </w:r>
      <w:r w:rsidRPr="00A730AA">
        <w:rPr>
          <w:rFonts w:ascii="仿宋_GB2312" w:eastAsia="仿宋_GB2312"/>
          <w:sz w:val="28"/>
          <w:szCs w:val="28"/>
        </w:rPr>
        <w:t xml:space="preserve"> </w:t>
      </w:r>
    </w:p>
    <w:p w14:paraId="54420D4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lastRenderedPageBreak/>
        <w:t>第十一条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风险管理部牵头负责本行全面风险管理工作，拟定全面风险管理规程，明确全行风险管理职责分工，统筹推进全面风险管理体系的建设完善，以及各类风险管控政策制度和流程工具的建立健全；拟定并适时更新相关管理政策和制度，组织开展各类风险压力测试。</w:t>
      </w:r>
      <w:r w:rsidRPr="00A730AA">
        <w:rPr>
          <w:rFonts w:ascii="仿宋_GB2312" w:eastAsia="仿宋_GB2312"/>
          <w:sz w:val="28"/>
          <w:szCs w:val="28"/>
        </w:rPr>
        <w:t xml:space="preserve"> </w:t>
      </w:r>
    </w:p>
    <w:p w14:paraId="0503D0E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第十二条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本行审计部负责资本管理的检查和评价等工作：</w:t>
      </w:r>
      <w:r w:rsidRPr="00A730AA">
        <w:rPr>
          <w:rFonts w:ascii="仿宋_GB2312" w:eastAsia="仿宋_GB2312"/>
          <w:sz w:val="28"/>
          <w:szCs w:val="28"/>
        </w:rPr>
        <w:t xml:space="preserve"> </w:t>
      </w:r>
    </w:p>
    <w:p w14:paraId="7E71262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（一）检查资本管理的治理结构和相关部门职责履行情况，评估相关人员的专业技能及资源充分性；</w:t>
      </w:r>
      <w:r w:rsidRPr="00A730AA">
        <w:rPr>
          <w:rFonts w:ascii="仿宋_GB2312" w:eastAsia="仿宋_GB2312"/>
          <w:sz w:val="28"/>
          <w:szCs w:val="28"/>
        </w:rPr>
        <w:t xml:space="preserve"> </w:t>
      </w:r>
    </w:p>
    <w:p w14:paraId="55D1548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（二）至少每年一次检查内部资本充足评估程序相关政策和执行情况；</w:t>
      </w:r>
      <w:r w:rsidRPr="00A730AA">
        <w:rPr>
          <w:rFonts w:ascii="仿宋_GB2312" w:eastAsia="仿宋_GB2312"/>
          <w:sz w:val="28"/>
          <w:szCs w:val="28"/>
        </w:rPr>
        <w:t xml:space="preserve"> </w:t>
      </w:r>
    </w:p>
    <w:p w14:paraId="5AA5697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（三）至少每年一次评估资本规划的执行情况；</w:t>
      </w:r>
      <w:r w:rsidRPr="00A730AA">
        <w:rPr>
          <w:rFonts w:ascii="仿宋_GB2312" w:eastAsia="仿宋_GB2312"/>
          <w:sz w:val="28"/>
          <w:szCs w:val="28"/>
        </w:rPr>
        <w:t xml:space="preserve"> </w:t>
      </w:r>
    </w:p>
    <w:p w14:paraId="16CC7FB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（四）至少每年一次评估资本充足率管理计划的执行情况；</w:t>
      </w:r>
    </w:p>
    <w:p w14:paraId="3E4CFFE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（五）检查资本管理的信息系统和数据管理的合规性和有效性；</w:t>
      </w:r>
      <w:r w:rsidRPr="00A730AA">
        <w:rPr>
          <w:rFonts w:ascii="仿宋_GB2312" w:eastAsia="仿宋_GB2312"/>
          <w:sz w:val="28"/>
          <w:szCs w:val="28"/>
        </w:rPr>
        <w:t xml:space="preserve"> </w:t>
      </w:r>
    </w:p>
    <w:p w14:paraId="2B02FC8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（六）向高级管理层和董事会提交资本管理相关的审计报告，报告内容包括但不限于资本充足率管理、内部资本充足评估程序执行情况、资本计量高级方法管理等方面的审计情况。</w:t>
      </w:r>
      <w:r w:rsidRPr="00A730AA">
        <w:rPr>
          <w:rFonts w:ascii="仿宋_GB2312" w:eastAsia="仿宋_GB2312"/>
          <w:sz w:val="28"/>
          <w:szCs w:val="28"/>
        </w:rPr>
        <w:t xml:space="preserve"> </w:t>
      </w:r>
    </w:p>
    <w:p w14:paraId="2C9E307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第十三条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本行董事会办公室参与资本充足率信息披露相关工作，及时将资本充足率信息披露相关议案提交董事会审批，并履行后续公开披露程序。</w:t>
      </w:r>
      <w:r w:rsidRPr="00A730AA">
        <w:rPr>
          <w:rFonts w:ascii="仿宋_GB2312" w:eastAsia="仿宋_GB2312"/>
          <w:sz w:val="28"/>
          <w:szCs w:val="28"/>
        </w:rPr>
        <w:t xml:space="preserve"> </w:t>
      </w:r>
    </w:p>
    <w:p w14:paraId="4BB711C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第十四条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本行人力资源部负责制定合理的薪酬政策，确保薪酬水平、结构和发放时间安排与风险大小和风险存续期一致，反映风险调整后的长期收益水平，防止过度承担风险，维护财务稳健性。</w:t>
      </w:r>
      <w:r w:rsidRPr="00A730AA">
        <w:rPr>
          <w:rFonts w:ascii="仿宋_GB2312" w:eastAsia="仿宋_GB2312"/>
          <w:sz w:val="28"/>
          <w:szCs w:val="28"/>
        </w:rPr>
        <w:t xml:space="preserve"> </w:t>
      </w:r>
    </w:p>
    <w:p w14:paraId="4931445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第十五条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各相关部门根据需要参与资本管理的相关工作，包括资本和风险计量体系的建设、风险计量结果的应用、内部资本充足评估程序实施、资本规划与筹集、资本考核与分配、资本监测与报告，以及资本充足率信息披露等。</w:t>
      </w:r>
    </w:p>
    <w:p w14:paraId="0216FFDE"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第三章</w:t>
      </w:r>
      <w:r w:rsidR="00A730AA">
        <w:rPr>
          <w:rFonts w:ascii="仿宋_GB2312" w:eastAsia="仿宋_GB2312"/>
          <w:b/>
          <w:sz w:val="28"/>
          <w:szCs w:val="28"/>
        </w:rPr>
        <w:t xml:space="preserve"> </w:t>
      </w:r>
      <w:r w:rsidRPr="00A730AA">
        <w:rPr>
          <w:rFonts w:ascii="仿宋_GB2312" w:eastAsia="仿宋_GB2312"/>
          <w:b/>
          <w:sz w:val="28"/>
          <w:szCs w:val="28"/>
        </w:rPr>
        <w:t xml:space="preserve"> </w:t>
      </w:r>
      <w:r w:rsidRPr="00A730AA">
        <w:rPr>
          <w:rFonts w:ascii="仿宋_GB2312" w:eastAsia="仿宋_GB2312" w:hint="eastAsia"/>
          <w:b/>
          <w:sz w:val="28"/>
          <w:szCs w:val="28"/>
        </w:rPr>
        <w:t>资本充足率计量及资本要求</w:t>
      </w:r>
    </w:p>
    <w:p w14:paraId="4762A7B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lastRenderedPageBreak/>
        <w:t>第十六条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总资本包括核心一级资本、其他一级资本和二级资本。核心一级资本包括：普通股、资本公积、盈余公积、一般风险准备、未分配利润、可计入核心一级资本的少数股东资本；其他一级资本包括：其他一级资本工具及其溢价、可计入其他一级资本的少数股东资本；二级资本包括：二级资本工具及其溢价、超额贷款损失准备、可计入二级资本的少数股东资本。本行发行的资本工具应符合银监会规定的合格标准。</w:t>
      </w:r>
      <w:r w:rsidRPr="00A730AA">
        <w:rPr>
          <w:rFonts w:ascii="仿宋_GB2312" w:eastAsia="仿宋_GB2312"/>
          <w:sz w:val="28"/>
          <w:szCs w:val="28"/>
        </w:rPr>
        <w:t xml:space="preserve"> </w:t>
      </w:r>
    </w:p>
    <w:p w14:paraId="2EC8D69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第十七条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本行风险加权资产包括信用风险加权资产、市场风险加权资产和操作风险加权资产。</w:t>
      </w:r>
      <w:r w:rsidRPr="00A730AA">
        <w:rPr>
          <w:rFonts w:ascii="仿宋_GB2312" w:eastAsia="仿宋_GB2312"/>
          <w:sz w:val="28"/>
          <w:szCs w:val="28"/>
        </w:rPr>
        <w:t xml:space="preserve"> </w:t>
      </w:r>
    </w:p>
    <w:p w14:paraId="69DC8DA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第十八条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本行依据相关规定开展资本和风险加权资产计量工作。</w:t>
      </w:r>
      <w:r w:rsidRPr="00A730AA">
        <w:rPr>
          <w:rFonts w:ascii="仿宋_GB2312" w:eastAsia="仿宋_GB2312"/>
          <w:sz w:val="28"/>
          <w:szCs w:val="28"/>
        </w:rPr>
        <w:t xml:space="preserve"> </w:t>
      </w:r>
    </w:p>
    <w:p w14:paraId="4D325D9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第十九条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本行资本充足率的计算范围包括本行所有分支机构。</w:t>
      </w:r>
      <w:r w:rsidRPr="00A730AA">
        <w:rPr>
          <w:rFonts w:ascii="仿宋_GB2312" w:eastAsia="仿宋_GB2312"/>
          <w:sz w:val="28"/>
          <w:szCs w:val="28"/>
        </w:rPr>
        <w:t xml:space="preserve"> </w:t>
      </w:r>
    </w:p>
    <w:p w14:paraId="203D264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本行资本充足率应满足监管要求，包括最低资本要求、储备资本和逆周期资本要求以及第二支柱资本要求。</w:t>
      </w:r>
      <w:r w:rsidRPr="00A730AA">
        <w:rPr>
          <w:rFonts w:ascii="仿宋_GB2312" w:eastAsia="仿宋_GB2312"/>
          <w:sz w:val="28"/>
          <w:szCs w:val="28"/>
        </w:rPr>
        <w:t xml:space="preserve"> </w:t>
      </w:r>
    </w:p>
    <w:p w14:paraId="64F12829"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第二十一条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本行各级资本充足率不得低于如下最低要求：</w:t>
      </w:r>
    </w:p>
    <w:p w14:paraId="129E8E9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（一）核心一级资本充足率不得低于</w:t>
      </w:r>
      <w:r w:rsidRPr="00A730AA">
        <w:rPr>
          <w:rFonts w:ascii="仿宋_GB2312" w:eastAsia="仿宋_GB2312"/>
          <w:sz w:val="28"/>
          <w:szCs w:val="28"/>
        </w:rPr>
        <w:t>10%</w:t>
      </w:r>
      <w:r w:rsidRPr="00A730AA">
        <w:rPr>
          <w:rFonts w:ascii="仿宋_GB2312" w:eastAsia="仿宋_GB2312" w:hint="eastAsia"/>
          <w:sz w:val="28"/>
          <w:szCs w:val="28"/>
        </w:rPr>
        <w:t>；</w:t>
      </w:r>
    </w:p>
    <w:p w14:paraId="67D17E6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（二）一级资本充足率不得低于</w:t>
      </w:r>
      <w:r w:rsidRPr="00A730AA">
        <w:rPr>
          <w:rFonts w:ascii="仿宋_GB2312" w:eastAsia="仿宋_GB2312"/>
          <w:sz w:val="28"/>
          <w:szCs w:val="28"/>
        </w:rPr>
        <w:t>10%</w:t>
      </w:r>
      <w:r w:rsidRPr="00A730AA">
        <w:rPr>
          <w:rFonts w:ascii="仿宋_GB2312" w:eastAsia="仿宋_GB2312" w:hint="eastAsia"/>
          <w:sz w:val="28"/>
          <w:szCs w:val="28"/>
        </w:rPr>
        <w:t>；</w:t>
      </w:r>
    </w:p>
    <w:p w14:paraId="6AEA910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（三）资本充足率不得低于</w:t>
      </w:r>
      <w:r w:rsidRPr="00A730AA">
        <w:rPr>
          <w:rFonts w:ascii="仿宋_GB2312" w:eastAsia="仿宋_GB2312"/>
          <w:sz w:val="28"/>
          <w:szCs w:val="28"/>
        </w:rPr>
        <w:t>11.6%</w:t>
      </w:r>
      <w:r w:rsidRPr="00A730AA">
        <w:rPr>
          <w:rFonts w:ascii="仿宋_GB2312" w:eastAsia="仿宋_GB2312" w:hint="eastAsia"/>
          <w:sz w:val="28"/>
          <w:szCs w:val="28"/>
        </w:rPr>
        <w:t>。</w:t>
      </w:r>
      <w:r w:rsidRPr="00A730AA">
        <w:rPr>
          <w:rFonts w:ascii="仿宋_GB2312" w:eastAsia="仿宋_GB2312"/>
          <w:sz w:val="28"/>
          <w:szCs w:val="28"/>
        </w:rPr>
        <w:t xml:space="preserve"> </w:t>
      </w:r>
    </w:p>
    <w:p w14:paraId="43C9A29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第二十二条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除上述资本充足率监管要求外，本行还应满足杠杆率监管要求。杠杆率的计算规则和监督管理按照银监会《商业银行杠杆率管理办法》执行。</w:t>
      </w:r>
      <w:r w:rsidR="00290DE9" w:rsidRPr="00A730AA">
        <w:rPr>
          <w:rFonts w:ascii="仿宋_GB2312" w:eastAsia="仿宋_GB2312"/>
          <w:sz w:val="28"/>
          <w:szCs w:val="28"/>
        </w:rPr>
        <w:t xml:space="preserve"> </w:t>
      </w:r>
    </w:p>
    <w:p w14:paraId="296E4801"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第四章</w:t>
      </w:r>
      <w:r w:rsidRPr="00A730AA">
        <w:rPr>
          <w:rFonts w:ascii="仿宋_GB2312" w:eastAsia="仿宋_GB2312"/>
          <w:b/>
          <w:sz w:val="28"/>
          <w:szCs w:val="28"/>
        </w:rPr>
        <w:t xml:space="preserve"> </w:t>
      </w:r>
      <w:r w:rsidR="00A730AA">
        <w:rPr>
          <w:rFonts w:ascii="仿宋_GB2312" w:eastAsia="仿宋_GB2312"/>
          <w:b/>
          <w:sz w:val="28"/>
          <w:szCs w:val="28"/>
        </w:rPr>
        <w:t xml:space="preserve"> </w:t>
      </w:r>
      <w:r w:rsidRPr="00A730AA">
        <w:rPr>
          <w:rFonts w:ascii="仿宋_GB2312" w:eastAsia="仿宋_GB2312" w:hint="eastAsia"/>
          <w:b/>
          <w:sz w:val="28"/>
          <w:szCs w:val="28"/>
        </w:rPr>
        <w:t>内部资本充足评估程序</w:t>
      </w:r>
      <w:r w:rsidRPr="00A730AA">
        <w:rPr>
          <w:rFonts w:ascii="仿宋_GB2312" w:eastAsia="仿宋_GB2312"/>
          <w:b/>
          <w:sz w:val="28"/>
          <w:szCs w:val="28"/>
        </w:rPr>
        <w:t xml:space="preserve"> </w:t>
      </w:r>
    </w:p>
    <w:p w14:paraId="06CD121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第二十三条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本办法所称内部资本充足评估，又称内部资本充足评估程序，简称</w:t>
      </w:r>
      <w:r w:rsidRPr="00A730AA">
        <w:rPr>
          <w:rFonts w:ascii="仿宋_GB2312" w:eastAsia="仿宋_GB2312"/>
          <w:sz w:val="28"/>
          <w:szCs w:val="28"/>
        </w:rPr>
        <w:t xml:space="preserve"> ICAAP</w:t>
      </w:r>
      <w:r w:rsidRPr="00A730AA">
        <w:rPr>
          <w:rFonts w:ascii="仿宋_GB2312" w:eastAsia="仿宋_GB2312" w:hint="eastAsia"/>
          <w:sz w:val="28"/>
          <w:szCs w:val="28"/>
        </w:rPr>
        <w:t>（</w:t>
      </w:r>
      <w:r w:rsidRPr="00A730AA">
        <w:rPr>
          <w:rFonts w:ascii="仿宋_GB2312" w:eastAsia="仿宋_GB2312"/>
          <w:sz w:val="28"/>
          <w:szCs w:val="28"/>
        </w:rPr>
        <w:t>Internal Capital Adequacy Assessment Process</w:t>
      </w:r>
      <w:r w:rsidRPr="00A730AA">
        <w:rPr>
          <w:rFonts w:ascii="仿宋_GB2312" w:eastAsia="仿宋_GB2312" w:hint="eastAsia"/>
          <w:sz w:val="28"/>
          <w:szCs w:val="28"/>
        </w:rPr>
        <w:t>），是指为确保本行资本水平能够有效抵御所面临的主要风险，满足业务发展战略的需要，对资本充足状况进行评估的一整套程序和机制。</w:t>
      </w:r>
      <w:r w:rsidRPr="00A730AA">
        <w:rPr>
          <w:rFonts w:ascii="仿宋_GB2312" w:eastAsia="仿宋_GB2312"/>
          <w:sz w:val="28"/>
          <w:szCs w:val="28"/>
        </w:rPr>
        <w:t xml:space="preserve"> </w:t>
      </w:r>
    </w:p>
    <w:p w14:paraId="043C2AB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第二十四条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本行应当建立完善的风险管理框架和稳健的内部资本充</w:t>
      </w:r>
      <w:r w:rsidRPr="00A730AA">
        <w:rPr>
          <w:rFonts w:ascii="仿宋_GB2312" w:eastAsia="仿宋_GB2312" w:hint="eastAsia"/>
          <w:sz w:val="28"/>
          <w:szCs w:val="28"/>
        </w:rPr>
        <w:lastRenderedPageBreak/>
        <w:t>足评估程序，明确风险治理结构，审慎评估各类风险、资本充足水平和资本质量，制定资本规划和资本充足率管理计划，确保资本能够充分抵御所面临的风险，满足业务发展的需要。</w:t>
      </w:r>
    </w:p>
    <w:p w14:paraId="133F7BF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第二十五条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本行内部资本充足评估程序的目标是：</w:t>
      </w:r>
      <w:r w:rsidRPr="00A730AA">
        <w:rPr>
          <w:rFonts w:ascii="仿宋_GB2312" w:eastAsia="仿宋_GB2312"/>
          <w:sz w:val="28"/>
          <w:szCs w:val="28"/>
        </w:rPr>
        <w:t xml:space="preserve"> </w:t>
      </w:r>
    </w:p>
    <w:p w14:paraId="058338C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（一）确保主要风险得到充分识别、计量或评估、监测和报告；</w:t>
      </w:r>
      <w:r w:rsidRPr="00A730AA">
        <w:rPr>
          <w:rFonts w:ascii="仿宋_GB2312" w:eastAsia="仿宋_GB2312"/>
          <w:sz w:val="28"/>
          <w:szCs w:val="28"/>
        </w:rPr>
        <w:t xml:space="preserve"> </w:t>
      </w:r>
    </w:p>
    <w:p w14:paraId="1626DF4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（二）确保资本水平与风险偏好和风险管理水平相适应；</w:t>
      </w:r>
      <w:r w:rsidRPr="00A730AA">
        <w:rPr>
          <w:rFonts w:ascii="仿宋_GB2312" w:eastAsia="仿宋_GB2312"/>
          <w:sz w:val="28"/>
          <w:szCs w:val="28"/>
        </w:rPr>
        <w:t xml:space="preserve"> </w:t>
      </w:r>
    </w:p>
    <w:p w14:paraId="6C5143B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（三）确保资本规划与本行经营状况、风险变化趋势和长期发展战略相匹配。</w:t>
      </w:r>
      <w:r w:rsidRPr="00A730AA">
        <w:rPr>
          <w:rFonts w:ascii="仿宋_GB2312" w:eastAsia="仿宋_GB2312"/>
          <w:sz w:val="28"/>
          <w:szCs w:val="28"/>
        </w:rPr>
        <w:t xml:space="preserve"> </w:t>
      </w:r>
    </w:p>
    <w:p w14:paraId="04A0C7C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第二十六条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压力测试是本行内部资本充足评估程序的重要组成部分，本行将结合压力测试结果确定内部资本充足率目标。压力测试应覆盖各业务条线的主要风险，并充分考虑经济周期对资本充足率的影响。</w:t>
      </w:r>
      <w:r w:rsidRPr="00A730AA">
        <w:rPr>
          <w:rFonts w:ascii="仿宋_GB2312" w:eastAsia="仿宋_GB2312"/>
          <w:sz w:val="28"/>
          <w:szCs w:val="28"/>
        </w:rPr>
        <w:t xml:space="preserve"> </w:t>
      </w:r>
    </w:p>
    <w:p w14:paraId="271C418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第二十七条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内部资本充足评估程序是本行内部管理和决策的组成部分，本行将内部资本充足评估结果运用于资本预算与分配、授信决策和战略规划。</w:t>
      </w:r>
      <w:r w:rsidRPr="00A730AA">
        <w:rPr>
          <w:rFonts w:ascii="仿宋_GB2312" w:eastAsia="仿宋_GB2312"/>
          <w:sz w:val="28"/>
          <w:szCs w:val="28"/>
        </w:rPr>
        <w:t xml:space="preserve"> </w:t>
      </w:r>
    </w:p>
    <w:p w14:paraId="0209DE8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第二十八条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本行原则上每年实施一次内部资本充足评估程序。当经营情况、风险状况和外部环境发生重大变化时，及时进行调整和更新。</w:t>
      </w:r>
      <w:r w:rsidRPr="00A730AA">
        <w:rPr>
          <w:rFonts w:ascii="仿宋_GB2312" w:eastAsia="仿宋_GB2312"/>
          <w:sz w:val="28"/>
          <w:szCs w:val="28"/>
        </w:rPr>
        <w:t xml:space="preserve"> </w:t>
      </w:r>
    </w:p>
    <w:p w14:paraId="4FAA099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第二十九条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本行依据监管规定和本办法制定内部资本充足评估程序实施细则，并开展内部资本充足评估工作。</w:t>
      </w:r>
      <w:r w:rsidR="00290DE9" w:rsidRPr="00A730AA">
        <w:rPr>
          <w:rFonts w:ascii="仿宋_GB2312" w:eastAsia="仿宋_GB2312"/>
          <w:sz w:val="28"/>
          <w:szCs w:val="28"/>
        </w:rPr>
        <w:t xml:space="preserve"> </w:t>
      </w:r>
    </w:p>
    <w:p w14:paraId="493F33C3"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第五章</w:t>
      </w:r>
      <w:r w:rsidRPr="00A730AA">
        <w:rPr>
          <w:rFonts w:ascii="仿宋_GB2312" w:eastAsia="仿宋_GB2312"/>
          <w:b/>
          <w:sz w:val="28"/>
          <w:szCs w:val="28"/>
        </w:rPr>
        <w:t xml:space="preserve"> </w:t>
      </w:r>
      <w:r w:rsidRPr="00A730AA">
        <w:rPr>
          <w:rFonts w:ascii="仿宋_GB2312" w:eastAsia="仿宋_GB2312" w:hint="eastAsia"/>
          <w:b/>
          <w:sz w:val="28"/>
          <w:szCs w:val="28"/>
        </w:rPr>
        <w:t>资本规划</w:t>
      </w:r>
    </w:p>
    <w:p w14:paraId="18B1900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资本规划是关于资本消耗和资本补充的中长期安排方案。基本指导思想是以充足的资本支撑业务发展，以合理的资本补充机制满足资本需求，以科学的资本结构提升股东回报，促进全行业务规模、质量和效益的协调发展。</w:t>
      </w:r>
      <w:r w:rsidRPr="00A730AA">
        <w:rPr>
          <w:rFonts w:ascii="仿宋_GB2312" w:eastAsia="仿宋_GB2312"/>
          <w:sz w:val="28"/>
          <w:szCs w:val="28"/>
        </w:rPr>
        <w:t xml:space="preserve"> </w:t>
      </w:r>
    </w:p>
    <w:p w14:paraId="6EEEAA9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第三十一条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资本规划的主要发展目标：</w:t>
      </w:r>
      <w:r w:rsidRPr="00A730AA">
        <w:rPr>
          <w:rFonts w:ascii="仿宋_GB2312" w:eastAsia="仿宋_GB2312"/>
          <w:sz w:val="28"/>
          <w:szCs w:val="28"/>
        </w:rPr>
        <w:t xml:space="preserve"> </w:t>
      </w:r>
    </w:p>
    <w:p w14:paraId="5512509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（一）稳健的资本充足率水平。本行资本充足率目标的确定，应确保满</w:t>
      </w:r>
      <w:r w:rsidRPr="00A730AA">
        <w:rPr>
          <w:rFonts w:ascii="仿宋_GB2312" w:eastAsia="仿宋_GB2312" w:hint="eastAsia"/>
          <w:sz w:val="28"/>
          <w:szCs w:val="28"/>
        </w:rPr>
        <w:lastRenderedPageBreak/>
        <w:t>足内部业务发展需求和外部监管要求。</w:t>
      </w:r>
      <w:r w:rsidRPr="00A730AA">
        <w:rPr>
          <w:rFonts w:ascii="仿宋_GB2312" w:eastAsia="仿宋_GB2312"/>
          <w:sz w:val="28"/>
          <w:szCs w:val="28"/>
        </w:rPr>
        <w:t xml:space="preserve"> </w:t>
      </w:r>
    </w:p>
    <w:p w14:paraId="3AAAC1D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（二）不断优化的资本结构。在资本管理过程中，积极优化并保持稳定的资本结构，提高抵御风险能力。</w:t>
      </w:r>
      <w:r w:rsidRPr="00A730AA">
        <w:rPr>
          <w:rFonts w:ascii="仿宋_GB2312" w:eastAsia="仿宋_GB2312"/>
          <w:sz w:val="28"/>
          <w:szCs w:val="28"/>
        </w:rPr>
        <w:t xml:space="preserve"> </w:t>
      </w:r>
    </w:p>
    <w:p w14:paraId="43DB4127"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（三）不断提升的资本运营效率。本行在业务发展过程中，应充分、高效利用资本杠杆功能，加快业务转型发展，提高资本配置效率。</w:t>
      </w:r>
      <w:r w:rsidRPr="00A730AA">
        <w:rPr>
          <w:rFonts w:ascii="仿宋_GB2312" w:eastAsia="仿宋_GB2312"/>
          <w:sz w:val="28"/>
          <w:szCs w:val="28"/>
        </w:rPr>
        <w:t xml:space="preserve"> </w:t>
      </w:r>
    </w:p>
    <w:p w14:paraId="4D5F4C29"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第三十二条</w:t>
      </w:r>
      <w:r w:rsidRPr="00A730AA">
        <w:rPr>
          <w:rFonts w:ascii="仿宋_GB2312" w:eastAsia="仿宋_GB2312"/>
          <w:sz w:val="28"/>
          <w:szCs w:val="28"/>
        </w:rPr>
        <w:t xml:space="preserve"> </w:t>
      </w:r>
      <w:r w:rsidRPr="00A730AA">
        <w:rPr>
          <w:rFonts w:ascii="仿宋_GB2312" w:eastAsia="仿宋_GB2312" w:hint="eastAsia"/>
          <w:sz w:val="28"/>
          <w:szCs w:val="28"/>
        </w:rPr>
        <w:t>制定资本规划应考虑的主要因素：</w:t>
      </w:r>
      <w:r w:rsidRPr="00A730AA">
        <w:rPr>
          <w:rFonts w:ascii="仿宋_GB2312" w:eastAsia="仿宋_GB2312"/>
          <w:sz w:val="28"/>
          <w:szCs w:val="28"/>
        </w:rPr>
        <w:t xml:space="preserve"> </w:t>
      </w:r>
    </w:p>
    <w:p w14:paraId="5BF9965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（一）综合考虑风险评估结果、未来资本需求、资本监管要求和资本可获得性，确保资本水平持续满足监管要求。资本规划应至少设定内部资本充足率三年目标；</w:t>
      </w:r>
      <w:r w:rsidRPr="00A730AA">
        <w:rPr>
          <w:rFonts w:ascii="仿宋_GB2312" w:eastAsia="仿宋_GB2312"/>
          <w:sz w:val="28"/>
          <w:szCs w:val="28"/>
        </w:rPr>
        <w:t xml:space="preserve"> </w:t>
      </w:r>
    </w:p>
    <w:p w14:paraId="1108579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（二）确保目标资本水平与业务发展战略、风险偏好、风险管理水平和外部经营环境相适应，兼顾短期和长期资本需求，并考虑各种资本补充来源的长期可持续性；</w:t>
      </w:r>
      <w:r w:rsidRPr="00A730AA">
        <w:rPr>
          <w:rFonts w:ascii="仿宋_GB2312" w:eastAsia="仿宋_GB2312"/>
          <w:sz w:val="28"/>
          <w:szCs w:val="28"/>
        </w:rPr>
        <w:t xml:space="preserve"> </w:t>
      </w:r>
    </w:p>
    <w:p w14:paraId="08156EF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（三）审慎估计资产质量、利润增长及资本市场的波动性，充分考虑对银行资本水平可能产生重大负面影响的因素，包括或有风险暴露，严重且长期的市场衰退，以及突破风险承受能力的其它事件；</w:t>
      </w:r>
      <w:r w:rsidRPr="00A730AA">
        <w:rPr>
          <w:rFonts w:ascii="仿宋_GB2312" w:eastAsia="仿宋_GB2312"/>
          <w:sz w:val="28"/>
          <w:szCs w:val="28"/>
        </w:rPr>
        <w:t xml:space="preserve"> </w:t>
      </w:r>
    </w:p>
    <w:p w14:paraId="394DA54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（四）优先考虑补充核心一级资本，增强内部资本积累能力，完善资本结构，提高资本质量；</w:t>
      </w:r>
      <w:r w:rsidRPr="00A730AA">
        <w:rPr>
          <w:rFonts w:ascii="仿宋_GB2312" w:eastAsia="仿宋_GB2312"/>
          <w:sz w:val="28"/>
          <w:szCs w:val="28"/>
        </w:rPr>
        <w:t xml:space="preserve"> </w:t>
      </w:r>
    </w:p>
    <w:p w14:paraId="72CBA369"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（五）当本行资本充足率接近或实际低于预期目标时，将优先考虑通过优化资产结构、提高盈利能力、调整股息分派政策、适时调节风险资产增长节奏等措施提高资本充足率；</w:t>
      </w:r>
      <w:r w:rsidRPr="00A730AA">
        <w:rPr>
          <w:rFonts w:ascii="仿宋_GB2312" w:eastAsia="仿宋_GB2312"/>
          <w:sz w:val="28"/>
          <w:szCs w:val="28"/>
        </w:rPr>
        <w:t xml:space="preserve"> </w:t>
      </w:r>
    </w:p>
    <w:p w14:paraId="0948D99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（六）根据综合评估情况，合理确定资本消耗和资本补充方案。</w:t>
      </w:r>
      <w:r w:rsidRPr="00A730AA">
        <w:rPr>
          <w:rFonts w:ascii="仿宋_GB2312" w:eastAsia="仿宋_GB2312"/>
          <w:sz w:val="28"/>
          <w:szCs w:val="28"/>
        </w:rPr>
        <w:t xml:space="preserve"> </w:t>
      </w:r>
    </w:p>
    <w:p w14:paraId="4ACF9B9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第三十三条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本行资本补充坚持内源性资本积累为主、外源性融资为辅的原则。</w:t>
      </w:r>
    </w:p>
    <w:p w14:paraId="198FE83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第三十四条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内源性资本补充的主要措施包括：</w:t>
      </w:r>
      <w:r w:rsidRPr="00A730AA">
        <w:rPr>
          <w:rFonts w:ascii="仿宋_GB2312" w:eastAsia="仿宋_GB2312"/>
          <w:sz w:val="28"/>
          <w:szCs w:val="28"/>
        </w:rPr>
        <w:t xml:space="preserve"> </w:t>
      </w:r>
    </w:p>
    <w:p w14:paraId="40CD287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（一）不断提升盈利能力，加强自身积累；</w:t>
      </w:r>
    </w:p>
    <w:p w14:paraId="1996B2A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（二）合理确定分红比率；</w:t>
      </w:r>
    </w:p>
    <w:p w14:paraId="454F89F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lastRenderedPageBreak/>
        <w:t>（三）合理确定计提拨备。</w:t>
      </w:r>
      <w:r w:rsidRPr="00A730AA">
        <w:rPr>
          <w:rFonts w:ascii="仿宋_GB2312" w:eastAsia="仿宋_GB2312"/>
          <w:sz w:val="28"/>
          <w:szCs w:val="28"/>
        </w:rPr>
        <w:t xml:space="preserve"> </w:t>
      </w:r>
    </w:p>
    <w:p w14:paraId="176C29B7"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第三十五条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外源性资本补充的主要工具包括：</w:t>
      </w:r>
      <w:r w:rsidRPr="00A730AA">
        <w:rPr>
          <w:rFonts w:ascii="仿宋_GB2312" w:eastAsia="仿宋_GB2312"/>
          <w:sz w:val="28"/>
          <w:szCs w:val="28"/>
        </w:rPr>
        <w:t xml:space="preserve"> </w:t>
      </w:r>
    </w:p>
    <w:p w14:paraId="2B88FD5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（一）一级资本的补充。主要方式包括：公开增发、定向增发、配股及其他合格一级资本工具等；</w:t>
      </w:r>
    </w:p>
    <w:p w14:paraId="416AC9DE"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（二）二级资本的补充。主要方式是发行符合《资本办法》要求的二级资本工具。</w:t>
      </w:r>
    </w:p>
    <w:p w14:paraId="38CF216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sz w:val="28"/>
          <w:szCs w:val="28"/>
        </w:rPr>
        <w:t xml:space="preserve"> </w:t>
      </w:r>
      <w:r w:rsidRPr="00A730AA">
        <w:rPr>
          <w:rFonts w:ascii="仿宋_GB2312" w:eastAsia="仿宋_GB2312" w:hint="eastAsia"/>
          <w:sz w:val="28"/>
          <w:szCs w:val="28"/>
        </w:rPr>
        <w:t>第三十六条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本行通过资本充足率压力测试，测算不同压力条件下的资本需求和资本可获得性，并制定资本应急预案以满足计划外的资本需求，确保本行具备充足资本应对不利的市场条件变化。</w:t>
      </w:r>
    </w:p>
    <w:p w14:paraId="7D40C7B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第三十七条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对于重度压力测试结果，资本应急预案中应明确相应的资本补充政策安排和应对措施，并充分考虑融资市场流动性变化，合理设计资本补充渠道。资本应急预案包括但不限于紧急筹资的成本分析和可行性分析、限制资本占用程度高的业务发展、采用风险缓释措施等。</w:t>
      </w:r>
      <w:r w:rsidR="00290DE9" w:rsidRPr="00A730AA">
        <w:rPr>
          <w:rFonts w:ascii="仿宋_GB2312" w:eastAsia="仿宋_GB2312"/>
          <w:sz w:val="28"/>
          <w:szCs w:val="28"/>
        </w:rPr>
        <w:t xml:space="preserve"> </w:t>
      </w:r>
    </w:p>
    <w:p w14:paraId="393A1E15"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第六章</w:t>
      </w:r>
      <w:r w:rsidRPr="00A730AA">
        <w:rPr>
          <w:rFonts w:ascii="仿宋_GB2312" w:eastAsia="仿宋_GB2312"/>
          <w:b/>
          <w:sz w:val="28"/>
          <w:szCs w:val="28"/>
        </w:rPr>
        <w:t xml:space="preserve"> </w:t>
      </w:r>
      <w:r w:rsidR="00A730AA">
        <w:rPr>
          <w:rFonts w:ascii="仿宋_GB2312" w:eastAsia="仿宋_GB2312"/>
          <w:b/>
          <w:sz w:val="28"/>
          <w:szCs w:val="28"/>
        </w:rPr>
        <w:t xml:space="preserve"> </w:t>
      </w:r>
      <w:r w:rsidRPr="00A730AA">
        <w:rPr>
          <w:rFonts w:ascii="仿宋_GB2312" w:eastAsia="仿宋_GB2312" w:hint="eastAsia"/>
          <w:b/>
          <w:sz w:val="28"/>
          <w:szCs w:val="28"/>
        </w:rPr>
        <w:t>资本分配与考核</w:t>
      </w:r>
      <w:r w:rsidRPr="00A730AA">
        <w:rPr>
          <w:rFonts w:ascii="仿宋_GB2312" w:eastAsia="仿宋_GB2312"/>
          <w:b/>
          <w:sz w:val="28"/>
          <w:szCs w:val="28"/>
        </w:rPr>
        <w:t xml:space="preserve"> </w:t>
      </w:r>
    </w:p>
    <w:p w14:paraId="05A0CF7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第三十八条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本行资本分配通过经济资本分配的方式实现，经济资本分配是指在充分考虑缓冲、应急情况后，将经济资本可分配限额向业务单位和业务条线分配的过程。</w:t>
      </w:r>
      <w:r w:rsidRPr="00A730AA">
        <w:rPr>
          <w:rFonts w:ascii="仿宋_GB2312" w:eastAsia="仿宋_GB2312"/>
          <w:sz w:val="28"/>
          <w:szCs w:val="28"/>
        </w:rPr>
        <w:t xml:space="preserve"> </w:t>
      </w:r>
    </w:p>
    <w:p w14:paraId="0542E44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第三十九条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本行经济资本分配应遵循以下原则：</w:t>
      </w:r>
      <w:r w:rsidRPr="00A730AA">
        <w:rPr>
          <w:rFonts w:ascii="仿宋_GB2312" w:eastAsia="仿宋_GB2312"/>
          <w:sz w:val="28"/>
          <w:szCs w:val="28"/>
        </w:rPr>
        <w:t xml:space="preserve"> </w:t>
      </w:r>
    </w:p>
    <w:p w14:paraId="723CB43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（一）总额平衡原则。总体上应确保资本供给量与资本需求量动态平衡。分配过程中，预留一部分资本作为二次分配调整，或用于因监管政策调整等因素的影响导致资本需求总额超过分配额度。</w:t>
      </w:r>
      <w:r w:rsidRPr="00A730AA">
        <w:rPr>
          <w:rFonts w:ascii="仿宋_GB2312" w:eastAsia="仿宋_GB2312"/>
          <w:sz w:val="28"/>
          <w:szCs w:val="28"/>
        </w:rPr>
        <w:t xml:space="preserve"> </w:t>
      </w:r>
    </w:p>
    <w:p w14:paraId="1DDB5B5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（二）与业务计划匹配原则。资本分配计划为全面预算的重要部分，支持业务发展，并与业务计划衔接。</w:t>
      </w:r>
      <w:r w:rsidRPr="00A730AA">
        <w:rPr>
          <w:rFonts w:ascii="仿宋_GB2312" w:eastAsia="仿宋_GB2312"/>
          <w:sz w:val="28"/>
          <w:szCs w:val="28"/>
        </w:rPr>
        <w:t xml:space="preserve"> </w:t>
      </w:r>
    </w:p>
    <w:p w14:paraId="034B975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（三）效率优先原则。资本分配优先向盈利能力强的地区、业务倾斜，不断提高资本资源配置效率。</w:t>
      </w:r>
      <w:r w:rsidRPr="00A730AA">
        <w:rPr>
          <w:rFonts w:ascii="仿宋_GB2312" w:eastAsia="仿宋_GB2312"/>
          <w:sz w:val="28"/>
          <w:szCs w:val="28"/>
        </w:rPr>
        <w:t xml:space="preserve"> </w:t>
      </w:r>
    </w:p>
    <w:p w14:paraId="05F96E5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lastRenderedPageBreak/>
        <w:t>第四十条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本行经济资本应用与考核遵循以下规定：</w:t>
      </w:r>
      <w:r w:rsidRPr="00A730AA">
        <w:rPr>
          <w:rFonts w:ascii="仿宋_GB2312" w:eastAsia="仿宋_GB2312"/>
          <w:sz w:val="28"/>
          <w:szCs w:val="28"/>
        </w:rPr>
        <w:t xml:space="preserve"> </w:t>
      </w:r>
    </w:p>
    <w:p w14:paraId="4D0B175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（一）建立以经济利润（</w:t>
      </w:r>
      <w:r w:rsidRPr="00A730AA">
        <w:rPr>
          <w:rFonts w:ascii="仿宋_GB2312" w:eastAsia="仿宋_GB2312"/>
          <w:sz w:val="28"/>
          <w:szCs w:val="28"/>
        </w:rPr>
        <w:t>EVA</w:t>
      </w:r>
      <w:r w:rsidRPr="00A730AA">
        <w:rPr>
          <w:rFonts w:ascii="仿宋_GB2312" w:eastAsia="仿宋_GB2312" w:hint="eastAsia"/>
          <w:sz w:val="28"/>
          <w:szCs w:val="28"/>
        </w:rPr>
        <w:t>）、经济资本回报率</w:t>
      </w:r>
      <w:r w:rsidRPr="00A730AA">
        <w:rPr>
          <w:rFonts w:ascii="仿宋_GB2312" w:eastAsia="仿宋_GB2312"/>
          <w:sz w:val="28"/>
          <w:szCs w:val="28"/>
        </w:rPr>
        <w:t>(RAROC)</w:t>
      </w:r>
      <w:r w:rsidRPr="00A730AA">
        <w:rPr>
          <w:rFonts w:ascii="仿宋_GB2312" w:eastAsia="仿宋_GB2312" w:hint="eastAsia"/>
          <w:sz w:val="28"/>
          <w:szCs w:val="28"/>
        </w:rPr>
        <w:t>为核心指标的经济资本应用体系。</w:t>
      </w:r>
      <w:r w:rsidRPr="00A730AA">
        <w:rPr>
          <w:rFonts w:ascii="仿宋_GB2312" w:eastAsia="仿宋_GB2312"/>
          <w:sz w:val="28"/>
          <w:szCs w:val="28"/>
        </w:rPr>
        <w:t xml:space="preserve"> </w:t>
      </w:r>
    </w:p>
    <w:p w14:paraId="3D8B2842"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（二）信贷决策应用。加强对信贷业务风险及回报的平衡分析，将产品和客户的经济利润（</w:t>
      </w:r>
      <w:r w:rsidRPr="00A730AA">
        <w:rPr>
          <w:rFonts w:ascii="仿宋_GB2312" w:eastAsia="仿宋_GB2312"/>
          <w:sz w:val="28"/>
          <w:szCs w:val="28"/>
        </w:rPr>
        <w:t>EVA</w:t>
      </w:r>
      <w:r w:rsidRPr="00A730AA">
        <w:rPr>
          <w:rFonts w:ascii="仿宋_GB2312" w:eastAsia="仿宋_GB2312" w:hint="eastAsia"/>
          <w:sz w:val="28"/>
          <w:szCs w:val="28"/>
        </w:rPr>
        <w:t>）、经济资本回报率（</w:t>
      </w:r>
      <w:r w:rsidRPr="00A730AA">
        <w:rPr>
          <w:rFonts w:ascii="仿宋_GB2312" w:eastAsia="仿宋_GB2312"/>
          <w:sz w:val="28"/>
          <w:szCs w:val="28"/>
        </w:rPr>
        <w:t>RAROC</w:t>
      </w:r>
      <w:r w:rsidRPr="00A730AA">
        <w:rPr>
          <w:rFonts w:ascii="仿宋_GB2312" w:eastAsia="仿宋_GB2312" w:hint="eastAsia"/>
          <w:sz w:val="28"/>
          <w:szCs w:val="28"/>
        </w:rPr>
        <w:t>）作为信贷评估、授信、审批的重要指标和决策依据。</w:t>
      </w:r>
      <w:r w:rsidRPr="00A730AA">
        <w:rPr>
          <w:rFonts w:ascii="仿宋_GB2312" w:eastAsia="仿宋_GB2312"/>
          <w:sz w:val="28"/>
          <w:szCs w:val="28"/>
        </w:rPr>
        <w:t xml:space="preserve"> </w:t>
      </w:r>
    </w:p>
    <w:p w14:paraId="1E94375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（三）定价管理应用。将经济资本回报率</w:t>
      </w:r>
      <w:r w:rsidRPr="00A730AA">
        <w:rPr>
          <w:rFonts w:ascii="仿宋_GB2312" w:eastAsia="仿宋_GB2312"/>
          <w:sz w:val="28"/>
          <w:szCs w:val="28"/>
        </w:rPr>
        <w:t>(RAROC)</w:t>
      </w:r>
      <w:r w:rsidRPr="00A730AA">
        <w:rPr>
          <w:rFonts w:ascii="仿宋_GB2312" w:eastAsia="仿宋_GB2312" w:hint="eastAsia"/>
          <w:sz w:val="28"/>
          <w:szCs w:val="28"/>
        </w:rPr>
        <w:t>要求运用至表内外授信业务的盈利性分析，作为定价管理的重要依据。</w:t>
      </w:r>
      <w:r w:rsidR="00290DE9" w:rsidRPr="00A730AA">
        <w:rPr>
          <w:rFonts w:ascii="仿宋_GB2312" w:eastAsia="仿宋_GB2312"/>
          <w:sz w:val="28"/>
          <w:szCs w:val="28"/>
        </w:rPr>
        <w:t xml:space="preserve"> </w:t>
      </w:r>
    </w:p>
    <w:p w14:paraId="371C6D8F"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第七章</w:t>
      </w:r>
      <w:r w:rsidRPr="00A730AA">
        <w:rPr>
          <w:rFonts w:ascii="仿宋_GB2312" w:eastAsia="仿宋_GB2312"/>
          <w:b/>
          <w:sz w:val="28"/>
          <w:szCs w:val="28"/>
        </w:rPr>
        <w:t xml:space="preserve"> </w:t>
      </w:r>
      <w:r w:rsidR="00A730AA">
        <w:rPr>
          <w:rFonts w:ascii="仿宋_GB2312" w:eastAsia="仿宋_GB2312"/>
          <w:b/>
          <w:sz w:val="28"/>
          <w:szCs w:val="28"/>
        </w:rPr>
        <w:t xml:space="preserve"> </w:t>
      </w:r>
      <w:r w:rsidRPr="00A730AA">
        <w:rPr>
          <w:rFonts w:ascii="仿宋_GB2312" w:eastAsia="仿宋_GB2312" w:hint="eastAsia"/>
          <w:b/>
          <w:sz w:val="28"/>
          <w:szCs w:val="28"/>
        </w:rPr>
        <w:t>信息披露</w:t>
      </w:r>
      <w:r w:rsidRPr="00A730AA">
        <w:rPr>
          <w:rFonts w:ascii="仿宋_GB2312" w:eastAsia="仿宋_GB2312"/>
          <w:b/>
          <w:sz w:val="28"/>
          <w:szCs w:val="28"/>
        </w:rPr>
        <w:t xml:space="preserve"> </w:t>
      </w:r>
    </w:p>
    <w:p w14:paraId="58A3D613"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第四十一条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本行依据监管规定和本行信息披露制度的相关要求开展资本充足率信息披露工作。</w:t>
      </w:r>
    </w:p>
    <w:p w14:paraId="2058698D"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第四十二条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资本充足率信息披露的基本原则：</w:t>
      </w:r>
      <w:r w:rsidRPr="00A730AA">
        <w:rPr>
          <w:rFonts w:ascii="仿宋_GB2312" w:eastAsia="仿宋_GB2312"/>
          <w:sz w:val="28"/>
          <w:szCs w:val="28"/>
        </w:rPr>
        <w:t xml:space="preserve"> </w:t>
      </w:r>
    </w:p>
    <w:p w14:paraId="7AD6071B"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（一）依法合规原则。本行严格按照监管规定和要求披露资本充足率相关信息。</w:t>
      </w:r>
      <w:r w:rsidRPr="00A730AA">
        <w:rPr>
          <w:rFonts w:ascii="仿宋_GB2312" w:eastAsia="仿宋_GB2312"/>
          <w:sz w:val="28"/>
          <w:szCs w:val="28"/>
        </w:rPr>
        <w:t xml:space="preserve"> </w:t>
      </w:r>
    </w:p>
    <w:p w14:paraId="7FDBA28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（二）持续披露原则。资本充足率信息披露是本行持续责任，本行诚信履行持续信息披露的义务。</w:t>
      </w:r>
      <w:r w:rsidRPr="00A730AA">
        <w:rPr>
          <w:rFonts w:ascii="仿宋_GB2312" w:eastAsia="仿宋_GB2312"/>
          <w:sz w:val="28"/>
          <w:szCs w:val="28"/>
        </w:rPr>
        <w:t xml:space="preserve"> </w:t>
      </w:r>
    </w:p>
    <w:p w14:paraId="27F7CBE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公开、公正、公平的原则。本行应保证披露信息的真实性、准确性、完整性和及时性，无虚假记载、严重误导性陈述或重大遗漏，并确保所有投资者具有平等获得信息的权利，在境内外市场披露的信息要保持一致。</w:t>
      </w:r>
      <w:r w:rsidRPr="00A730AA">
        <w:rPr>
          <w:rFonts w:ascii="仿宋_GB2312" w:eastAsia="仿宋_GB2312"/>
          <w:sz w:val="28"/>
          <w:szCs w:val="28"/>
        </w:rPr>
        <w:t xml:space="preserve"> </w:t>
      </w:r>
    </w:p>
    <w:p w14:paraId="6856E85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（四）充分披露原则。监管规定的披露内容是资本充足率信息披露的最低要求，本行应遵循充分披露的原则，并根据监管政策变化及时调整披露事项。</w:t>
      </w:r>
    </w:p>
    <w:p w14:paraId="691C0FA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第四十三条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本行通过本行网站、办公系统及相关报刊等渠道向投资者和社会公众披露资本充足率相关信息，确保资本充足率信息披露的集中性、可访问性和公开性。</w:t>
      </w:r>
      <w:r w:rsidR="00290DE9" w:rsidRPr="00A730AA">
        <w:rPr>
          <w:rFonts w:ascii="仿宋_GB2312" w:eastAsia="仿宋_GB2312"/>
          <w:sz w:val="28"/>
          <w:szCs w:val="28"/>
        </w:rPr>
        <w:t xml:space="preserve"> </w:t>
      </w:r>
    </w:p>
    <w:p w14:paraId="74911610"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lastRenderedPageBreak/>
        <w:t>第八章</w:t>
      </w:r>
      <w:r w:rsidR="00A730AA">
        <w:rPr>
          <w:rFonts w:ascii="仿宋_GB2312" w:eastAsia="仿宋_GB2312"/>
          <w:b/>
          <w:sz w:val="28"/>
          <w:szCs w:val="28"/>
        </w:rPr>
        <w:t xml:space="preserve"> </w:t>
      </w:r>
      <w:r w:rsidRPr="00A730AA">
        <w:rPr>
          <w:rFonts w:ascii="仿宋_GB2312" w:eastAsia="仿宋_GB2312"/>
          <w:b/>
          <w:sz w:val="28"/>
          <w:szCs w:val="28"/>
        </w:rPr>
        <w:t xml:space="preserve"> </w:t>
      </w:r>
      <w:r w:rsidRPr="00A730AA">
        <w:rPr>
          <w:rFonts w:ascii="仿宋_GB2312" w:eastAsia="仿宋_GB2312" w:hint="eastAsia"/>
          <w:b/>
          <w:sz w:val="28"/>
          <w:szCs w:val="28"/>
        </w:rPr>
        <w:t>监测与报告</w:t>
      </w:r>
      <w:r w:rsidRPr="00A730AA">
        <w:rPr>
          <w:rFonts w:ascii="仿宋_GB2312" w:eastAsia="仿宋_GB2312"/>
          <w:b/>
          <w:sz w:val="28"/>
          <w:szCs w:val="28"/>
        </w:rPr>
        <w:t xml:space="preserve"> </w:t>
      </w:r>
    </w:p>
    <w:p w14:paraId="7D085DF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第四十四条</w:t>
      </w:r>
      <w:r w:rsidR="00EE0528" w:rsidRPr="00A730AA">
        <w:rPr>
          <w:rFonts w:ascii="仿宋_GB2312" w:eastAsia="仿宋_GB2312"/>
          <w:sz w:val="28"/>
          <w:szCs w:val="28"/>
        </w:rPr>
        <w:t xml:space="preserve"> </w:t>
      </w:r>
      <w:r w:rsidRPr="00A730AA">
        <w:rPr>
          <w:rFonts w:ascii="仿宋_GB2312" w:eastAsia="仿宋_GB2312"/>
          <w:sz w:val="28"/>
          <w:szCs w:val="28"/>
        </w:rPr>
        <w:t xml:space="preserve"> </w:t>
      </w:r>
      <w:r w:rsidRPr="00A730AA">
        <w:rPr>
          <w:rFonts w:ascii="仿宋_GB2312" w:eastAsia="仿宋_GB2312" w:hint="eastAsia"/>
          <w:sz w:val="28"/>
          <w:szCs w:val="28"/>
        </w:rPr>
        <w:t>本行建立资本监控和报告机制，定期监测和报告本行资本管理情况，包括但不限于资本充足率、资本和风险加权资产水平，变动趋势和影响因素，以及资本充足率预测情况。</w:t>
      </w:r>
      <w:r w:rsidRPr="00A730AA">
        <w:rPr>
          <w:rFonts w:ascii="仿宋_GB2312" w:eastAsia="仿宋_GB2312"/>
          <w:sz w:val="28"/>
          <w:szCs w:val="28"/>
        </w:rPr>
        <w:t xml:space="preserve"> </w:t>
      </w:r>
    </w:p>
    <w:p w14:paraId="4508E9C0"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第四十五条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本行建立内部资本充足评估程序的报告体系，定期监测和报告银行资本水平和主要影响因素的变化趋势。报告至少包括以下内容：</w:t>
      </w:r>
      <w:r w:rsidRPr="00A730AA">
        <w:rPr>
          <w:rFonts w:ascii="仿宋_GB2312" w:eastAsia="仿宋_GB2312"/>
          <w:sz w:val="28"/>
          <w:szCs w:val="28"/>
        </w:rPr>
        <w:t xml:space="preserve"> </w:t>
      </w:r>
    </w:p>
    <w:p w14:paraId="01FC46B1"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（一）评估主要风险状况及发展趋势、战略目标和外部环境对资本水平的影响；</w:t>
      </w:r>
    </w:p>
    <w:p w14:paraId="4630A2E8"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（二）评估实际持有的资本是否足以抵御主要风险；</w:t>
      </w:r>
    </w:p>
    <w:p w14:paraId="52E6775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（三）提出确保资本能够充分覆盖主要风险的建议。</w:t>
      </w:r>
      <w:r w:rsidRPr="00A730AA">
        <w:rPr>
          <w:rFonts w:ascii="仿宋_GB2312" w:eastAsia="仿宋_GB2312"/>
          <w:sz w:val="28"/>
          <w:szCs w:val="28"/>
        </w:rPr>
        <w:t xml:space="preserve"> </w:t>
      </w:r>
      <w:r w:rsidRPr="00A730AA">
        <w:rPr>
          <w:rFonts w:ascii="仿宋_GB2312" w:eastAsia="仿宋_GB2312" w:hint="eastAsia"/>
          <w:sz w:val="28"/>
          <w:szCs w:val="28"/>
        </w:rPr>
        <w:t>根据重要性和报告用途不同，本行明确各类报告的发送范围、报告内容及详略程度，确保报告信息与报送频率满足本行资本管理的需要。</w:t>
      </w:r>
      <w:r w:rsidRPr="00A730AA">
        <w:rPr>
          <w:rFonts w:ascii="仿宋_GB2312" w:eastAsia="仿宋_GB2312"/>
          <w:sz w:val="28"/>
          <w:szCs w:val="28"/>
        </w:rPr>
        <w:t xml:space="preserve"> </w:t>
      </w:r>
    </w:p>
    <w:p w14:paraId="6E7E673A"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第四十六条</w:t>
      </w:r>
      <w:r w:rsidRPr="00A730AA">
        <w:rPr>
          <w:rFonts w:ascii="仿宋_GB2312" w:eastAsia="仿宋_GB2312"/>
          <w:sz w:val="28"/>
          <w:szCs w:val="28"/>
        </w:rPr>
        <w:t xml:space="preserve"> </w:t>
      </w:r>
      <w:r w:rsidR="00EE0528" w:rsidRPr="00A730AA">
        <w:rPr>
          <w:rFonts w:ascii="仿宋_GB2312" w:eastAsia="仿宋_GB2312"/>
          <w:sz w:val="28"/>
          <w:szCs w:val="28"/>
        </w:rPr>
        <w:t xml:space="preserve"> </w:t>
      </w:r>
      <w:r w:rsidRPr="00A730AA">
        <w:rPr>
          <w:rFonts w:ascii="仿宋_GB2312" w:eastAsia="仿宋_GB2312" w:hint="eastAsia"/>
          <w:sz w:val="28"/>
          <w:szCs w:val="28"/>
        </w:rPr>
        <w:t>本行建立完整的文档管理机制，支持内部审计部门、监管部门对本行资本管理进行有效评估。文档包括但不限于：</w:t>
      </w:r>
    </w:p>
    <w:p w14:paraId="024B159C"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（一）董事会、高级管理层和相关部门的职责、独立性以及履职情况；</w:t>
      </w:r>
    </w:p>
    <w:p w14:paraId="1588A6C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（二）关于资本管理、风险管理等政策流程的制度文件；</w:t>
      </w:r>
    </w:p>
    <w:p w14:paraId="36725D4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（三）资本规划、资本充足率管理计划、内部资本充足评估报告、压力测试报告、审计报告以及上述报告的相关重要文档；</w:t>
      </w:r>
    </w:p>
    <w:p w14:paraId="5C7281B4"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（四）关于资本管理的会议纪要和重要决策意见。</w:t>
      </w:r>
      <w:r w:rsidR="00290DE9" w:rsidRPr="00A730AA">
        <w:rPr>
          <w:rFonts w:ascii="仿宋_GB2312" w:eastAsia="仿宋_GB2312"/>
          <w:sz w:val="28"/>
          <w:szCs w:val="28"/>
        </w:rPr>
        <w:t xml:space="preserve"> </w:t>
      </w:r>
    </w:p>
    <w:p w14:paraId="2FE6C6B6" w14:textId="77777777" w:rsidR="000D60CF" w:rsidRPr="00A730AA" w:rsidRDefault="000D60CF" w:rsidP="00A730AA">
      <w:pPr>
        <w:spacing w:beforeLines="50" w:before="120" w:line="360" w:lineRule="auto"/>
        <w:jc w:val="center"/>
        <w:rPr>
          <w:rFonts w:ascii="仿宋_GB2312" w:eastAsia="仿宋_GB2312"/>
          <w:b/>
          <w:sz w:val="28"/>
          <w:szCs w:val="28"/>
        </w:rPr>
      </w:pPr>
      <w:r w:rsidRPr="00A730AA">
        <w:rPr>
          <w:rFonts w:ascii="仿宋_GB2312" w:eastAsia="仿宋_GB2312" w:hint="eastAsia"/>
          <w:b/>
          <w:sz w:val="28"/>
          <w:szCs w:val="28"/>
        </w:rPr>
        <w:t>第九章</w:t>
      </w:r>
      <w:r w:rsidRPr="00A730AA">
        <w:rPr>
          <w:rFonts w:ascii="仿宋_GB2312" w:eastAsia="仿宋_GB2312"/>
          <w:b/>
          <w:sz w:val="28"/>
          <w:szCs w:val="28"/>
        </w:rPr>
        <w:t xml:space="preserve"> </w:t>
      </w:r>
      <w:r w:rsidR="00A730AA">
        <w:rPr>
          <w:rFonts w:ascii="仿宋_GB2312" w:eastAsia="仿宋_GB2312"/>
          <w:b/>
          <w:sz w:val="28"/>
          <w:szCs w:val="28"/>
        </w:rPr>
        <w:t xml:space="preserve"> </w:t>
      </w:r>
      <w:r w:rsidRPr="00A730AA">
        <w:rPr>
          <w:rFonts w:ascii="仿宋_GB2312" w:eastAsia="仿宋_GB2312" w:hint="eastAsia"/>
          <w:b/>
          <w:sz w:val="28"/>
          <w:szCs w:val="28"/>
        </w:rPr>
        <w:t>附则</w:t>
      </w:r>
    </w:p>
    <w:p w14:paraId="4361F24F"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第四十七条</w:t>
      </w:r>
      <w:r w:rsidRPr="00A730AA">
        <w:rPr>
          <w:rFonts w:ascii="仿宋_GB2312" w:eastAsia="仿宋_GB2312"/>
          <w:sz w:val="28"/>
          <w:szCs w:val="28"/>
        </w:rPr>
        <w:t xml:space="preserve">  </w:t>
      </w:r>
      <w:r w:rsidRPr="00A730AA">
        <w:rPr>
          <w:rFonts w:ascii="仿宋_GB2312" w:eastAsia="仿宋_GB2312" w:hint="eastAsia"/>
          <w:sz w:val="28"/>
          <w:szCs w:val="28"/>
        </w:rPr>
        <w:t>本办法经股东大会审议通过后生效。</w:t>
      </w:r>
    </w:p>
    <w:p w14:paraId="1F999166"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第四十八条</w:t>
      </w:r>
      <w:r w:rsidRPr="00A730AA">
        <w:rPr>
          <w:rFonts w:ascii="仿宋_GB2312" w:eastAsia="仿宋_GB2312"/>
          <w:sz w:val="28"/>
          <w:szCs w:val="28"/>
        </w:rPr>
        <w:t xml:space="preserve">  </w:t>
      </w:r>
      <w:r w:rsidRPr="00A730AA">
        <w:rPr>
          <w:rFonts w:ascii="仿宋_GB2312" w:eastAsia="仿宋_GB2312" w:hint="eastAsia"/>
          <w:sz w:val="28"/>
          <w:szCs w:val="28"/>
        </w:rPr>
        <w:t>本办法未尽事宜，依照法律法规、行政规章以及本行章程的有关规定执行。</w:t>
      </w:r>
    </w:p>
    <w:p w14:paraId="616BC195" w14:textId="77777777" w:rsidR="000D60CF" w:rsidRPr="00A730AA" w:rsidRDefault="000D60CF" w:rsidP="00A730AA">
      <w:pPr>
        <w:spacing w:line="360" w:lineRule="auto"/>
        <w:ind w:firstLineChars="200" w:firstLine="560"/>
        <w:rPr>
          <w:rFonts w:ascii="仿宋_GB2312" w:eastAsia="仿宋_GB2312"/>
          <w:sz w:val="28"/>
          <w:szCs w:val="28"/>
        </w:rPr>
      </w:pPr>
      <w:r w:rsidRPr="00A730AA">
        <w:rPr>
          <w:rFonts w:ascii="仿宋_GB2312" w:eastAsia="仿宋_GB2312" w:hint="eastAsia"/>
          <w:sz w:val="28"/>
          <w:szCs w:val="28"/>
        </w:rPr>
        <w:t>第四十九条</w:t>
      </w:r>
      <w:r w:rsidRPr="00A730AA">
        <w:rPr>
          <w:rFonts w:ascii="仿宋_GB2312" w:eastAsia="仿宋_GB2312"/>
          <w:sz w:val="28"/>
          <w:szCs w:val="28"/>
        </w:rPr>
        <w:t xml:space="preserve">  </w:t>
      </w:r>
      <w:r w:rsidRPr="00A730AA">
        <w:rPr>
          <w:rFonts w:ascii="仿宋_GB2312" w:eastAsia="仿宋_GB2312" w:hint="eastAsia"/>
          <w:sz w:val="28"/>
          <w:szCs w:val="28"/>
        </w:rPr>
        <w:t>本办法</w:t>
      </w:r>
      <w:r w:rsidR="00B84DAA">
        <w:rPr>
          <w:rFonts w:ascii="仿宋_GB2312" w:eastAsia="仿宋_GB2312" w:hint="eastAsia"/>
          <w:sz w:val="28"/>
          <w:szCs w:val="28"/>
        </w:rPr>
        <w:t>由</w:t>
      </w:r>
      <w:r w:rsidR="00220A60">
        <w:rPr>
          <w:rFonts w:ascii="仿宋_GB2312" w:eastAsia="仿宋_GB2312" w:hint="eastAsia"/>
          <w:sz w:val="28"/>
          <w:szCs w:val="28"/>
        </w:rPr>
        <w:t>本行</w:t>
      </w:r>
      <w:r w:rsidR="0075199B">
        <w:rPr>
          <w:rFonts w:ascii="仿宋_GB2312" w:eastAsia="仿宋_GB2312" w:hint="eastAsia"/>
          <w:sz w:val="28"/>
          <w:szCs w:val="28"/>
        </w:rPr>
        <w:t>负责解释和修订</w:t>
      </w:r>
      <w:r w:rsidRPr="00A730AA">
        <w:rPr>
          <w:rFonts w:ascii="仿宋_GB2312" w:eastAsia="仿宋_GB2312" w:hint="eastAsia"/>
          <w:sz w:val="28"/>
          <w:szCs w:val="28"/>
        </w:rPr>
        <w:t>。</w:t>
      </w:r>
    </w:p>
    <w:p w14:paraId="7DEE4E90" w14:textId="77777777" w:rsidR="00290DE9" w:rsidRPr="00B84DAA" w:rsidRDefault="00290DE9" w:rsidP="00290DE9">
      <w:pPr>
        <w:pStyle w:val="Default"/>
        <w:rPr>
          <w:sz w:val="28"/>
          <w:szCs w:val="28"/>
        </w:rPr>
      </w:pPr>
    </w:p>
    <w:p w14:paraId="3A48D78F" w14:textId="77777777" w:rsidR="00B84DAA" w:rsidRPr="00B84DAA" w:rsidRDefault="00B84DAA" w:rsidP="00290DE9">
      <w:pPr>
        <w:pStyle w:val="Default"/>
        <w:rPr>
          <w:sz w:val="28"/>
          <w:szCs w:val="28"/>
        </w:rPr>
      </w:pPr>
    </w:p>
    <w:p w14:paraId="17825C7F" w14:textId="77777777" w:rsidR="00B84DAA" w:rsidRPr="00B84DAA" w:rsidRDefault="00B84DAA" w:rsidP="00290DE9">
      <w:pPr>
        <w:pStyle w:val="Default"/>
        <w:rPr>
          <w:sz w:val="28"/>
          <w:szCs w:val="28"/>
        </w:rPr>
      </w:pPr>
    </w:p>
    <w:p w14:paraId="7F233BEA" w14:textId="77777777" w:rsidR="00B84DAA" w:rsidRDefault="00B84DAA" w:rsidP="00290DE9">
      <w:pPr>
        <w:pStyle w:val="Default"/>
        <w:rPr>
          <w:sz w:val="28"/>
          <w:szCs w:val="28"/>
        </w:rPr>
      </w:pPr>
    </w:p>
    <w:p w14:paraId="05BE80AA" w14:textId="77777777" w:rsidR="00B84DAA" w:rsidRDefault="00B84DAA" w:rsidP="00290DE9">
      <w:pPr>
        <w:pStyle w:val="Default"/>
        <w:rPr>
          <w:sz w:val="28"/>
          <w:szCs w:val="28"/>
        </w:rPr>
      </w:pPr>
    </w:p>
    <w:p w14:paraId="785AA896" w14:textId="77777777" w:rsidR="00B84DAA" w:rsidRDefault="00B84DAA" w:rsidP="00290DE9">
      <w:pPr>
        <w:pStyle w:val="Default"/>
        <w:rPr>
          <w:sz w:val="28"/>
          <w:szCs w:val="28"/>
        </w:rPr>
      </w:pPr>
    </w:p>
    <w:p w14:paraId="4902707D" w14:textId="77777777" w:rsidR="00B84DAA" w:rsidRDefault="00B84DAA" w:rsidP="00290DE9">
      <w:pPr>
        <w:pStyle w:val="Default"/>
        <w:rPr>
          <w:sz w:val="28"/>
          <w:szCs w:val="28"/>
        </w:rPr>
      </w:pPr>
    </w:p>
    <w:p w14:paraId="7DA237C2" w14:textId="77777777" w:rsidR="00B84DAA" w:rsidRDefault="00B84DAA" w:rsidP="00290DE9">
      <w:pPr>
        <w:pStyle w:val="Default"/>
        <w:rPr>
          <w:sz w:val="28"/>
          <w:szCs w:val="28"/>
        </w:rPr>
      </w:pPr>
    </w:p>
    <w:p w14:paraId="53421133" w14:textId="77777777" w:rsidR="00B84DAA" w:rsidRDefault="00B84DAA" w:rsidP="00290DE9">
      <w:pPr>
        <w:pStyle w:val="Default"/>
        <w:rPr>
          <w:sz w:val="28"/>
          <w:szCs w:val="28"/>
        </w:rPr>
      </w:pPr>
    </w:p>
    <w:p w14:paraId="289AB7F5" w14:textId="77777777" w:rsidR="00B84DAA" w:rsidRDefault="00B84DAA" w:rsidP="00290DE9">
      <w:pPr>
        <w:pStyle w:val="Default"/>
        <w:rPr>
          <w:sz w:val="28"/>
          <w:szCs w:val="28"/>
        </w:rPr>
      </w:pPr>
    </w:p>
    <w:p w14:paraId="528FF118" w14:textId="77777777" w:rsidR="00B84DAA" w:rsidRDefault="00B84DAA" w:rsidP="00290DE9">
      <w:pPr>
        <w:pStyle w:val="Default"/>
        <w:rPr>
          <w:sz w:val="28"/>
          <w:szCs w:val="28"/>
        </w:rPr>
      </w:pPr>
    </w:p>
    <w:p w14:paraId="7720FD4F" w14:textId="77777777" w:rsidR="00B84DAA" w:rsidRDefault="00B84DAA" w:rsidP="00290DE9">
      <w:pPr>
        <w:pStyle w:val="Default"/>
        <w:rPr>
          <w:sz w:val="28"/>
          <w:szCs w:val="28"/>
        </w:rPr>
      </w:pPr>
    </w:p>
    <w:p w14:paraId="47A2A680" w14:textId="77777777" w:rsidR="00B84DAA" w:rsidRDefault="00B84DAA" w:rsidP="00290DE9">
      <w:pPr>
        <w:pStyle w:val="Default"/>
        <w:rPr>
          <w:sz w:val="28"/>
          <w:szCs w:val="28"/>
        </w:rPr>
      </w:pPr>
    </w:p>
    <w:p w14:paraId="45DA5E6E" w14:textId="77777777" w:rsidR="00B84DAA" w:rsidRDefault="00B84DAA" w:rsidP="00290DE9">
      <w:pPr>
        <w:pStyle w:val="Default"/>
        <w:rPr>
          <w:sz w:val="28"/>
          <w:szCs w:val="28"/>
        </w:rPr>
      </w:pPr>
    </w:p>
    <w:p w14:paraId="65658B4F" w14:textId="77777777" w:rsidR="00B84DAA" w:rsidRDefault="00B84DAA" w:rsidP="00290DE9">
      <w:pPr>
        <w:pStyle w:val="Default"/>
        <w:rPr>
          <w:sz w:val="28"/>
          <w:szCs w:val="28"/>
        </w:rPr>
      </w:pPr>
    </w:p>
    <w:p w14:paraId="039E3E61" w14:textId="77777777" w:rsidR="00B84DAA" w:rsidRDefault="00B84DAA" w:rsidP="00290DE9">
      <w:pPr>
        <w:pStyle w:val="Default"/>
        <w:rPr>
          <w:sz w:val="28"/>
          <w:szCs w:val="28"/>
        </w:rPr>
      </w:pPr>
    </w:p>
    <w:p w14:paraId="68CBB932" w14:textId="77777777" w:rsidR="00B84DAA" w:rsidRDefault="00B84DAA" w:rsidP="00290DE9">
      <w:pPr>
        <w:pStyle w:val="Default"/>
        <w:rPr>
          <w:sz w:val="28"/>
          <w:szCs w:val="28"/>
        </w:rPr>
      </w:pPr>
    </w:p>
    <w:p w14:paraId="6A8CA893" w14:textId="77777777" w:rsidR="00B84DAA" w:rsidRDefault="00B84DAA" w:rsidP="00290DE9">
      <w:pPr>
        <w:pStyle w:val="Default"/>
        <w:rPr>
          <w:sz w:val="28"/>
          <w:szCs w:val="28"/>
        </w:rPr>
      </w:pPr>
    </w:p>
    <w:p w14:paraId="312C0172" w14:textId="77777777" w:rsidR="00B84DAA" w:rsidRDefault="00B84DAA" w:rsidP="00290DE9">
      <w:pPr>
        <w:pStyle w:val="Default"/>
        <w:rPr>
          <w:sz w:val="28"/>
          <w:szCs w:val="28"/>
        </w:rPr>
      </w:pPr>
    </w:p>
    <w:p w14:paraId="0040376D" w14:textId="77777777" w:rsidR="00B84DAA" w:rsidRDefault="00B84DAA" w:rsidP="00290DE9">
      <w:pPr>
        <w:pStyle w:val="Default"/>
        <w:rPr>
          <w:sz w:val="28"/>
          <w:szCs w:val="28"/>
        </w:rPr>
      </w:pPr>
    </w:p>
    <w:p w14:paraId="3A9B0F3D" w14:textId="77777777" w:rsidR="00B84DAA" w:rsidRDefault="00B84DAA" w:rsidP="00290DE9">
      <w:pPr>
        <w:pStyle w:val="Default"/>
        <w:rPr>
          <w:sz w:val="28"/>
          <w:szCs w:val="28"/>
        </w:rPr>
      </w:pPr>
    </w:p>
    <w:p w14:paraId="69A46B4E" w14:textId="77777777" w:rsidR="00B84DAA" w:rsidRDefault="00B84DAA" w:rsidP="00290DE9">
      <w:pPr>
        <w:pStyle w:val="Default"/>
        <w:rPr>
          <w:sz w:val="28"/>
          <w:szCs w:val="28"/>
        </w:rPr>
      </w:pPr>
    </w:p>
    <w:p w14:paraId="63B576E3" w14:textId="77777777" w:rsidR="00B84DAA" w:rsidRDefault="00B84DAA" w:rsidP="00290DE9">
      <w:pPr>
        <w:pStyle w:val="Default"/>
        <w:rPr>
          <w:sz w:val="28"/>
          <w:szCs w:val="28"/>
        </w:rPr>
      </w:pPr>
    </w:p>
    <w:p w14:paraId="439EBD5A" w14:textId="77777777" w:rsidR="00B84DAA" w:rsidRDefault="00B84DAA" w:rsidP="00290DE9">
      <w:pPr>
        <w:pStyle w:val="Default"/>
        <w:rPr>
          <w:sz w:val="28"/>
          <w:szCs w:val="28"/>
        </w:rPr>
      </w:pPr>
    </w:p>
    <w:p w14:paraId="3BD30C33" w14:textId="77777777" w:rsidR="00B84DAA" w:rsidRDefault="00B84DAA" w:rsidP="00290DE9">
      <w:pPr>
        <w:pStyle w:val="Default"/>
        <w:rPr>
          <w:sz w:val="28"/>
          <w:szCs w:val="28"/>
        </w:rPr>
      </w:pPr>
    </w:p>
    <w:p w14:paraId="2A87C696" w14:textId="77777777" w:rsidR="00B84DAA" w:rsidRDefault="00B84DAA" w:rsidP="00290DE9">
      <w:pPr>
        <w:pStyle w:val="Default"/>
        <w:rPr>
          <w:sz w:val="28"/>
          <w:szCs w:val="28"/>
        </w:rPr>
      </w:pPr>
    </w:p>
    <w:p w14:paraId="35DA3BF7" w14:textId="77777777" w:rsidR="00B84DAA" w:rsidRDefault="00B84DAA" w:rsidP="00290DE9">
      <w:pPr>
        <w:pStyle w:val="Default"/>
        <w:rPr>
          <w:sz w:val="28"/>
          <w:szCs w:val="28"/>
        </w:rPr>
      </w:pPr>
    </w:p>
    <w:p w14:paraId="103B338C" w14:textId="77777777" w:rsidR="00B84DAA" w:rsidRPr="00B84DAA" w:rsidRDefault="00B84DAA" w:rsidP="00290DE9">
      <w:pPr>
        <w:pStyle w:val="Default"/>
        <w:rPr>
          <w:sz w:val="28"/>
          <w:szCs w:val="28"/>
        </w:rPr>
      </w:pPr>
    </w:p>
    <w:p w14:paraId="4A3539E8" w14:textId="77777777" w:rsidR="00B84DAA" w:rsidRPr="00B84DAA" w:rsidRDefault="00B84DAA" w:rsidP="00290DE9">
      <w:pPr>
        <w:pStyle w:val="Default"/>
        <w:rPr>
          <w:sz w:val="28"/>
          <w:szCs w:val="28"/>
        </w:rPr>
      </w:pPr>
    </w:p>
    <w:p w14:paraId="76FB4E06" w14:textId="77777777" w:rsidR="00B84DAA" w:rsidRPr="00B84DAA" w:rsidRDefault="00B84DAA" w:rsidP="00290DE9">
      <w:pPr>
        <w:pStyle w:val="Default"/>
        <w:rPr>
          <w:sz w:val="28"/>
          <w:szCs w:val="28"/>
        </w:rPr>
      </w:pPr>
    </w:p>
    <w:p w14:paraId="21ED26BB" w14:textId="77777777" w:rsidR="00B84DAA" w:rsidRPr="00B84DAA" w:rsidRDefault="00B84DAA" w:rsidP="00290DE9">
      <w:pPr>
        <w:pStyle w:val="Default"/>
        <w:rPr>
          <w:sz w:val="28"/>
          <w:szCs w:val="28"/>
        </w:rPr>
      </w:pPr>
    </w:p>
    <w:p w14:paraId="21F392CD" w14:textId="77777777" w:rsidR="00B84DAA" w:rsidRPr="00B84DAA" w:rsidRDefault="00B84DAA" w:rsidP="00290DE9">
      <w:pPr>
        <w:pStyle w:val="Default"/>
        <w:rPr>
          <w:sz w:val="28"/>
          <w:szCs w:val="28"/>
        </w:rPr>
      </w:pPr>
    </w:p>
    <w:p w14:paraId="18538529" w14:textId="77777777" w:rsidR="00B84DAA" w:rsidRPr="00B84DAA" w:rsidRDefault="00B84DAA" w:rsidP="00290DE9">
      <w:pPr>
        <w:pStyle w:val="Default"/>
        <w:rPr>
          <w:sz w:val="28"/>
          <w:szCs w:val="28"/>
        </w:rPr>
      </w:pPr>
    </w:p>
    <w:p w14:paraId="572842B2" w14:textId="77777777" w:rsidR="00B84DAA" w:rsidRPr="00B84DAA" w:rsidRDefault="00B84DAA" w:rsidP="00290DE9">
      <w:pPr>
        <w:pStyle w:val="Default"/>
        <w:rPr>
          <w:sz w:val="28"/>
          <w:szCs w:val="28"/>
        </w:rPr>
      </w:pPr>
    </w:p>
    <w:p w14:paraId="3E938779" w14:textId="77777777" w:rsidR="00B84DAA" w:rsidRPr="00B84DAA" w:rsidRDefault="00B84DAA" w:rsidP="00290DE9">
      <w:pPr>
        <w:pStyle w:val="Default"/>
        <w:rPr>
          <w:sz w:val="28"/>
          <w:szCs w:val="28"/>
        </w:rPr>
      </w:pPr>
    </w:p>
    <w:p w14:paraId="3CC0FA82" w14:textId="77777777" w:rsidR="00B84DAA" w:rsidRPr="00B84DAA" w:rsidRDefault="00B84DAA" w:rsidP="00290DE9">
      <w:pPr>
        <w:pStyle w:val="Default"/>
        <w:rPr>
          <w:sz w:val="28"/>
          <w:szCs w:val="28"/>
        </w:rPr>
      </w:pPr>
    </w:p>
    <w:p w14:paraId="525726FD" w14:textId="77777777" w:rsidR="00290DE9" w:rsidRPr="00290DE9" w:rsidRDefault="00290DE9" w:rsidP="00290DE9">
      <w:pPr>
        <w:pStyle w:val="Default"/>
      </w:pPr>
    </w:p>
    <w:p w14:paraId="747FA8F9" w14:textId="77777777" w:rsidR="000D60CF" w:rsidRPr="00C93BF6" w:rsidRDefault="000D60CF" w:rsidP="00253AF0">
      <w:pPr>
        <w:spacing w:before="50" w:line="360" w:lineRule="auto"/>
        <w:rPr>
          <w:rFonts w:ascii="仿宋_GB2312" w:eastAsia="仿宋_GB2312" w:cs="仿宋_GB2312"/>
          <w:b/>
          <w:bCs/>
          <w:sz w:val="28"/>
          <w:szCs w:val="28"/>
        </w:rPr>
      </w:pPr>
      <w:r w:rsidRPr="00C93BF6">
        <w:rPr>
          <w:rFonts w:ascii="仿宋_GB2312" w:eastAsia="仿宋_GB2312" w:cs="仿宋_GB2312" w:hint="eastAsia"/>
          <w:b/>
          <w:bCs/>
          <w:sz w:val="28"/>
          <w:szCs w:val="28"/>
        </w:rPr>
        <w:t>附件：</w:t>
      </w:r>
      <w:r w:rsidRPr="00C93BF6">
        <w:rPr>
          <w:rFonts w:ascii="仿宋_GB2312" w:eastAsia="仿宋_GB2312" w:cs="仿宋_GB2312"/>
          <w:b/>
          <w:bCs/>
          <w:sz w:val="28"/>
          <w:szCs w:val="28"/>
        </w:rPr>
        <w:t xml:space="preserve"> </w:t>
      </w:r>
    </w:p>
    <w:p w14:paraId="60825C54" w14:textId="77777777" w:rsidR="000D60CF" w:rsidRPr="00A730AA" w:rsidRDefault="000D60CF" w:rsidP="00A730AA">
      <w:pPr>
        <w:jc w:val="center"/>
        <w:rPr>
          <w:rFonts w:ascii="仿宋_GB2312" w:eastAsia="仿宋_GB2312"/>
          <w:b/>
          <w:sz w:val="28"/>
          <w:szCs w:val="28"/>
        </w:rPr>
      </w:pPr>
      <w:r w:rsidRPr="00A730AA">
        <w:rPr>
          <w:rFonts w:ascii="仿宋_GB2312" w:eastAsia="仿宋_GB2312" w:hint="eastAsia"/>
          <w:b/>
          <w:sz w:val="28"/>
          <w:szCs w:val="28"/>
        </w:rPr>
        <w:t>表内资产风险权重、表外项目信用转换系数及</w:t>
      </w:r>
    </w:p>
    <w:p w14:paraId="041CF6BC" w14:textId="77777777" w:rsidR="000D60CF" w:rsidRPr="00A730AA" w:rsidRDefault="000D60CF" w:rsidP="00A730AA">
      <w:pPr>
        <w:jc w:val="center"/>
        <w:rPr>
          <w:rFonts w:ascii="仿宋_GB2312" w:eastAsia="仿宋_GB2312"/>
          <w:b/>
          <w:sz w:val="28"/>
          <w:szCs w:val="28"/>
        </w:rPr>
      </w:pPr>
      <w:r w:rsidRPr="00A730AA">
        <w:rPr>
          <w:rFonts w:ascii="仿宋_GB2312" w:eastAsia="仿宋_GB2312" w:hint="eastAsia"/>
          <w:b/>
          <w:sz w:val="28"/>
          <w:szCs w:val="28"/>
        </w:rPr>
        <w:t>合格信用风险缓释工具</w:t>
      </w:r>
    </w:p>
    <w:p w14:paraId="66323335" w14:textId="77777777" w:rsidR="000D60CF" w:rsidRPr="00A730AA" w:rsidRDefault="000D60CF" w:rsidP="00A730AA">
      <w:pPr>
        <w:rPr>
          <w:rFonts w:ascii="仿宋_GB2312" w:eastAsia="仿宋_GB2312"/>
          <w:b/>
          <w:sz w:val="28"/>
          <w:szCs w:val="28"/>
        </w:rPr>
      </w:pPr>
      <w:r w:rsidRPr="00A730AA">
        <w:rPr>
          <w:rFonts w:ascii="仿宋_GB2312" w:eastAsia="仿宋_GB2312" w:hint="eastAsia"/>
          <w:b/>
          <w:sz w:val="28"/>
          <w:szCs w:val="28"/>
        </w:rPr>
        <w:lastRenderedPageBreak/>
        <w:t>一、表内资产风险权重</w:t>
      </w:r>
    </w:p>
    <w:p w14:paraId="2EE358D6" w14:textId="77777777" w:rsidR="000D60CF" w:rsidRPr="00C93BF6" w:rsidRDefault="000D60CF" w:rsidP="00C93BF6">
      <w:pPr>
        <w:spacing w:before="50" w:line="360" w:lineRule="auto"/>
        <w:ind w:firstLineChars="200" w:firstLine="561"/>
        <w:jc w:val="center"/>
        <w:rPr>
          <w:rFonts w:ascii="仿宋_GB2312" w:eastAsia="仿宋_GB2312" w:cs="??_GB2312"/>
          <w:b/>
          <w:bCs/>
          <w:sz w:val="28"/>
          <w:szCs w:val="28"/>
        </w:rPr>
      </w:pPr>
      <w:r w:rsidRPr="00C93BF6">
        <w:rPr>
          <w:rFonts w:ascii="仿宋_GB2312" w:eastAsia="仿宋_GB2312" w:cs="??_GB2312" w:hint="eastAsia"/>
          <w:b/>
          <w:bCs/>
          <w:sz w:val="28"/>
          <w:szCs w:val="28"/>
        </w:rPr>
        <w:t>表</w:t>
      </w:r>
      <w:r w:rsidRPr="00C93BF6">
        <w:rPr>
          <w:rFonts w:ascii="仿宋_GB2312" w:eastAsia="仿宋_GB2312" w:cs="??_GB2312"/>
          <w:b/>
          <w:bCs/>
          <w:sz w:val="28"/>
          <w:szCs w:val="28"/>
        </w:rPr>
        <w:t xml:space="preserve">1 </w:t>
      </w:r>
      <w:r w:rsidRPr="00C93BF6">
        <w:rPr>
          <w:rFonts w:ascii="仿宋_GB2312" w:eastAsia="仿宋_GB2312" w:cs="??_GB2312" w:hint="eastAsia"/>
          <w:b/>
          <w:bCs/>
          <w:sz w:val="28"/>
          <w:szCs w:val="28"/>
        </w:rPr>
        <w:t>表内资产风险权重表</w:t>
      </w:r>
    </w:p>
    <w:tbl>
      <w:tblPr>
        <w:tblW w:w="0" w:type="auto"/>
        <w:jc w:val="center"/>
        <w:tblLayout w:type="fixed"/>
        <w:tblCellMar>
          <w:left w:w="0" w:type="dxa"/>
          <w:right w:w="0" w:type="dxa"/>
        </w:tblCellMar>
        <w:tblLook w:val="0000" w:firstRow="0" w:lastRow="0" w:firstColumn="0" w:lastColumn="0" w:noHBand="0" w:noVBand="0"/>
      </w:tblPr>
      <w:tblGrid>
        <w:gridCol w:w="7030"/>
        <w:gridCol w:w="1491"/>
      </w:tblGrid>
      <w:tr w:rsidR="000D60CF" w:rsidRPr="00C93BF6" w14:paraId="4B5CC851" w14:textId="77777777" w:rsidTr="00253AF0">
        <w:trPr>
          <w:trHeight w:val="402"/>
          <w:tblHeader/>
          <w:jc w:val="center"/>
        </w:trPr>
        <w:tc>
          <w:tcPr>
            <w:tcW w:w="7030"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2D3E8C0" w14:textId="77777777" w:rsidR="000D60CF" w:rsidRPr="00C93BF6" w:rsidRDefault="000D60CF" w:rsidP="00C93BF6">
            <w:pPr>
              <w:spacing w:before="50" w:line="360" w:lineRule="auto"/>
              <w:ind w:firstLineChars="200" w:firstLine="560"/>
              <w:jc w:val="center"/>
              <w:rPr>
                <w:rFonts w:ascii="仿宋_GB2312" w:eastAsia="仿宋_GB2312"/>
                <w:sz w:val="28"/>
                <w:szCs w:val="28"/>
              </w:rPr>
            </w:pPr>
            <w:r w:rsidRPr="00C93BF6">
              <w:rPr>
                <w:rFonts w:ascii="仿宋_GB2312" w:eastAsia="仿宋_GB2312" w:hAnsi="宋体" w:hint="eastAsia"/>
                <w:sz w:val="28"/>
                <w:szCs w:val="28"/>
              </w:rPr>
              <w:t>项目</w:t>
            </w:r>
          </w:p>
        </w:tc>
        <w:tc>
          <w:tcPr>
            <w:tcW w:w="1491"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14:paraId="7694F3E0" w14:textId="77777777" w:rsidR="000D60CF" w:rsidRPr="00C93BF6" w:rsidRDefault="000D60CF" w:rsidP="00C93BF6">
            <w:pPr>
              <w:spacing w:before="50" w:line="360" w:lineRule="auto"/>
              <w:ind w:firstLineChars="200" w:firstLine="560"/>
              <w:jc w:val="center"/>
              <w:rPr>
                <w:rFonts w:ascii="仿宋_GB2312" w:eastAsia="仿宋_GB2312"/>
                <w:sz w:val="28"/>
                <w:szCs w:val="28"/>
              </w:rPr>
            </w:pPr>
            <w:r w:rsidRPr="00C93BF6">
              <w:rPr>
                <w:rFonts w:ascii="仿宋_GB2312" w:eastAsia="仿宋_GB2312" w:hAnsi="宋体" w:hint="eastAsia"/>
                <w:sz w:val="28"/>
                <w:szCs w:val="28"/>
              </w:rPr>
              <w:t>权重</w:t>
            </w:r>
          </w:p>
        </w:tc>
      </w:tr>
      <w:tr w:rsidR="000D60CF" w:rsidRPr="00C93BF6" w14:paraId="5B09EE45"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17DB3A7"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1.</w:t>
            </w:r>
            <w:r w:rsidRPr="00C93BF6">
              <w:rPr>
                <w:rFonts w:ascii="仿宋_GB2312" w:eastAsia="仿宋_GB2312" w:hAnsi="宋体" w:cs="仿宋_GB2312" w:hint="eastAsia"/>
                <w:b/>
                <w:bCs/>
                <w:sz w:val="28"/>
                <w:szCs w:val="28"/>
              </w:rPr>
              <w:t>现金类资产</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0E61DA8C"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28F612FF"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706BCDC"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1.1</w:t>
            </w:r>
            <w:r w:rsidRPr="00C93BF6">
              <w:rPr>
                <w:rFonts w:ascii="仿宋_GB2312" w:eastAsia="仿宋_GB2312" w:hAnsi="宋体" w:cs="仿宋_GB2312" w:hint="eastAsia"/>
                <w:sz w:val="28"/>
                <w:szCs w:val="28"/>
              </w:rPr>
              <w:t>现金</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48881E0F"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17D16D61"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0343898C"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1.2</w:t>
            </w:r>
            <w:r w:rsidRPr="00C93BF6">
              <w:rPr>
                <w:rFonts w:ascii="仿宋_GB2312" w:eastAsia="仿宋_GB2312" w:hAnsi="宋体" w:cs="仿宋_GB2312" w:hint="eastAsia"/>
                <w:sz w:val="28"/>
                <w:szCs w:val="28"/>
              </w:rPr>
              <w:t>黄金</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1006938"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55797B87"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585DD929"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1.3</w:t>
            </w:r>
            <w:r w:rsidRPr="00C93BF6">
              <w:rPr>
                <w:rFonts w:ascii="仿宋_GB2312" w:eastAsia="仿宋_GB2312" w:hAnsi="宋体" w:cs="仿宋_GB2312" w:hint="eastAsia"/>
                <w:sz w:val="28"/>
                <w:szCs w:val="28"/>
              </w:rPr>
              <w:t>存放中国人民银行款项</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360D935"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50EF391E"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084C981"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2.</w:t>
            </w:r>
            <w:r w:rsidRPr="00C93BF6">
              <w:rPr>
                <w:rFonts w:ascii="仿宋_GB2312" w:eastAsia="仿宋_GB2312" w:hAnsi="宋体" w:cs="仿宋_GB2312" w:hint="eastAsia"/>
                <w:b/>
                <w:bCs/>
                <w:sz w:val="28"/>
                <w:szCs w:val="28"/>
              </w:rPr>
              <w:t>对中央政府和中央银行的债权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1331D12"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03B0DF38"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046F1E3A"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2.1</w:t>
            </w:r>
            <w:r w:rsidRPr="00C93BF6">
              <w:rPr>
                <w:rFonts w:ascii="仿宋_GB2312" w:eastAsia="仿宋_GB2312" w:hAnsi="宋体" w:cs="仿宋_GB2312" w:hint="eastAsia"/>
                <w:sz w:val="28"/>
                <w:szCs w:val="28"/>
              </w:rPr>
              <w:t>对我国中央政府的债权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35E740E2"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1199F866"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337014E7"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2.2</w:t>
            </w:r>
            <w:r w:rsidRPr="00C93BF6">
              <w:rPr>
                <w:rFonts w:ascii="仿宋_GB2312" w:eastAsia="仿宋_GB2312" w:hAnsi="宋体" w:cs="仿宋_GB2312" w:hint="eastAsia"/>
                <w:sz w:val="28"/>
                <w:szCs w:val="28"/>
              </w:rPr>
              <w:t>对中国人民银行的债权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6DDEA62D"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61912F97"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5ADB11D5"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2.3</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）以上的国家或地区的中央政府和中央银行的债权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147FBBC"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2B506E48"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19DB9AF6"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2.4</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以下，</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）以上的国家或地区的中央政府和中央银行的债权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8D48073"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20%</w:t>
            </w:r>
          </w:p>
        </w:tc>
      </w:tr>
      <w:tr w:rsidR="000D60CF" w:rsidRPr="00C93BF6" w14:paraId="195D1D3D"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7A383F7"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2.5</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以下，</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）以上的国家或地区的中央政府和中央银行的债权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670A8354"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50%</w:t>
            </w:r>
          </w:p>
        </w:tc>
      </w:tr>
      <w:tr w:rsidR="000D60CF" w:rsidRPr="00C93BF6" w14:paraId="19C9F397"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43759F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2.6</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以下，</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）以上的国家或地区的中央政府和中央银行的债权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A834A65"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75D4DD61" w14:textId="77777777" w:rsidTr="00253AF0">
        <w:trPr>
          <w:trHeight w:val="25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739294BC"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2.7</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以下的国家或地区的中央政府和中央银行的债权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960E8EE"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150%</w:t>
            </w:r>
          </w:p>
        </w:tc>
      </w:tr>
      <w:tr w:rsidR="000D60CF" w:rsidRPr="00C93BF6" w14:paraId="52658F14" w14:textId="77777777" w:rsidTr="00253AF0">
        <w:trPr>
          <w:trHeight w:val="25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023DDA2A"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2.8</w:t>
            </w:r>
            <w:r w:rsidRPr="00C93BF6">
              <w:rPr>
                <w:rFonts w:ascii="仿宋_GB2312" w:eastAsia="仿宋_GB2312" w:hAnsi="宋体" w:cs="仿宋_GB2312" w:hint="eastAsia"/>
                <w:sz w:val="28"/>
                <w:szCs w:val="28"/>
              </w:rPr>
              <w:t>对未评级的国家或地区的中央政府和中央银行的债权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9E71D8E"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7DC85A26"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D2ECF7B"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3.</w:t>
            </w:r>
            <w:r w:rsidRPr="00C93BF6">
              <w:rPr>
                <w:rFonts w:ascii="仿宋_GB2312" w:eastAsia="仿宋_GB2312" w:hAnsi="宋体" w:cs="仿宋_GB2312" w:hint="eastAsia"/>
                <w:b/>
                <w:bCs/>
                <w:sz w:val="28"/>
                <w:szCs w:val="28"/>
              </w:rPr>
              <w:t>对我国公共部门实体的债权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7DA53AA"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20%</w:t>
            </w:r>
            <w:r w:rsidRPr="00C93BF6">
              <w:rPr>
                <w:rFonts w:ascii="仿宋_GB2312" w:eastAsia="仿宋_GB2312" w:hAnsi="宋体" w:hint="eastAsia"/>
                <w:sz w:val="28"/>
                <w:szCs w:val="28"/>
              </w:rPr>
              <w:t xml:space="preserve">　</w:t>
            </w:r>
          </w:p>
        </w:tc>
      </w:tr>
      <w:tr w:rsidR="000D60CF" w:rsidRPr="00C93BF6" w14:paraId="0EE960AA"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A376941"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lastRenderedPageBreak/>
              <w:t>4.</w:t>
            </w:r>
            <w:r w:rsidRPr="00C93BF6">
              <w:rPr>
                <w:rFonts w:ascii="仿宋_GB2312" w:eastAsia="仿宋_GB2312" w:hAnsi="宋体" w:cs="仿宋_GB2312" w:hint="eastAsia"/>
                <w:b/>
                <w:bCs/>
                <w:sz w:val="28"/>
                <w:szCs w:val="28"/>
              </w:rPr>
              <w:t>对我国金融机构的债权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0ACDA96D" w14:textId="77777777" w:rsidR="000D60CF" w:rsidRPr="00C93BF6" w:rsidRDefault="000D60CF" w:rsidP="00C93BF6">
            <w:pPr>
              <w:spacing w:before="50" w:line="360" w:lineRule="auto"/>
              <w:ind w:firstLineChars="200" w:firstLine="560"/>
              <w:jc w:val="right"/>
              <w:rPr>
                <w:rFonts w:ascii="仿宋_GB2312" w:eastAsia="仿宋_GB2312"/>
                <w:sz w:val="28"/>
                <w:szCs w:val="28"/>
              </w:rPr>
            </w:pPr>
          </w:p>
        </w:tc>
      </w:tr>
      <w:tr w:rsidR="000D60CF" w:rsidRPr="00C93BF6" w14:paraId="4E0825AD"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A2E17BA"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4.1</w:t>
            </w:r>
            <w:r w:rsidRPr="00C93BF6">
              <w:rPr>
                <w:rFonts w:ascii="仿宋_GB2312" w:eastAsia="仿宋_GB2312" w:hAnsi="宋体" w:cs="仿宋_GB2312" w:hint="eastAsia"/>
                <w:sz w:val="28"/>
                <w:szCs w:val="28"/>
              </w:rPr>
              <w:t>对我国政策性银行的债权（不包括次级债权）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4550F65D"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0E6ADC75"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99A3A29"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4.2</w:t>
            </w:r>
            <w:r w:rsidRPr="00C93BF6">
              <w:rPr>
                <w:rFonts w:ascii="仿宋_GB2312" w:eastAsia="仿宋_GB2312" w:hAnsi="宋体" w:cs="仿宋_GB2312" w:hint="eastAsia"/>
                <w:sz w:val="28"/>
                <w:szCs w:val="28"/>
              </w:rPr>
              <w:t>对我国中央政府投资的金融资产管理公司的债权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CB60858"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00D562DC" w14:textId="77777777" w:rsidTr="00253AF0">
        <w:trPr>
          <w:trHeight w:val="600"/>
          <w:jc w:val="center"/>
        </w:trPr>
        <w:tc>
          <w:tcPr>
            <w:tcW w:w="7030" w:type="dxa"/>
            <w:tcBorders>
              <w:top w:val="nil"/>
              <w:left w:val="single" w:sz="4" w:space="0" w:color="auto"/>
              <w:bottom w:val="single" w:sz="4" w:space="0" w:color="auto"/>
              <w:right w:val="single" w:sz="4" w:space="0" w:color="auto"/>
            </w:tcBorders>
            <w:tcMar>
              <w:top w:w="15" w:type="dxa"/>
              <w:left w:w="810" w:type="dxa"/>
              <w:bottom w:w="0" w:type="dxa"/>
              <w:right w:w="15" w:type="dxa"/>
            </w:tcMar>
            <w:vAlign w:val="center"/>
          </w:tcPr>
          <w:p w14:paraId="349828BB"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4.2.1</w:t>
            </w:r>
            <w:r w:rsidRPr="00C93BF6">
              <w:rPr>
                <w:rFonts w:ascii="仿宋_GB2312" w:eastAsia="仿宋_GB2312" w:hAnsi="宋体" w:cs="仿宋_GB2312" w:hint="eastAsia"/>
                <w:sz w:val="28"/>
                <w:szCs w:val="28"/>
              </w:rPr>
              <w:t>持有我国中央政府投资的金融资产管理公司为收购国有银行不良贷款而定向发行的债券</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4C5F5890"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072DF4F2"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810" w:type="dxa"/>
              <w:bottom w:w="0" w:type="dxa"/>
              <w:right w:w="15" w:type="dxa"/>
            </w:tcMar>
            <w:vAlign w:val="center"/>
          </w:tcPr>
          <w:p w14:paraId="153E3D8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4.2.2</w:t>
            </w:r>
            <w:r w:rsidRPr="00C93BF6">
              <w:rPr>
                <w:rFonts w:ascii="仿宋_GB2312" w:eastAsia="仿宋_GB2312" w:hAnsi="宋体" w:cs="仿宋_GB2312" w:hint="eastAsia"/>
                <w:sz w:val="28"/>
                <w:szCs w:val="28"/>
              </w:rPr>
              <w:t>对我国中央政府投资的金融资产管理公司的其他债权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0FCB594F"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5C9DC262"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091A9D74"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4.3</w:t>
            </w:r>
            <w:r w:rsidRPr="00C93BF6">
              <w:rPr>
                <w:rFonts w:ascii="仿宋_GB2312" w:eastAsia="仿宋_GB2312" w:hAnsi="宋体" w:cs="仿宋_GB2312" w:hint="eastAsia"/>
                <w:sz w:val="28"/>
                <w:szCs w:val="28"/>
              </w:rPr>
              <w:t>对我国其他商业银行的债权（不包括次级债权）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D172971" w14:textId="77777777" w:rsidR="000D60CF" w:rsidRPr="00C93BF6" w:rsidRDefault="000D60CF" w:rsidP="00C93BF6">
            <w:pPr>
              <w:spacing w:before="50" w:line="360" w:lineRule="auto"/>
              <w:ind w:firstLineChars="200" w:firstLine="560"/>
              <w:jc w:val="right"/>
              <w:rPr>
                <w:rFonts w:ascii="仿宋_GB2312" w:eastAsia="仿宋_GB2312"/>
                <w:sz w:val="28"/>
                <w:szCs w:val="28"/>
              </w:rPr>
            </w:pPr>
          </w:p>
        </w:tc>
      </w:tr>
      <w:tr w:rsidR="000D60CF" w:rsidRPr="00C93BF6" w14:paraId="5532A574"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B37022B"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4.3.1</w:t>
            </w:r>
            <w:r w:rsidRPr="00C93BF6">
              <w:rPr>
                <w:rFonts w:ascii="仿宋_GB2312" w:eastAsia="仿宋_GB2312" w:hAnsi="宋体" w:cs="仿宋_GB2312" w:hint="eastAsia"/>
                <w:sz w:val="28"/>
                <w:szCs w:val="28"/>
              </w:rPr>
              <w:t>原始期限</w:t>
            </w:r>
            <w:r w:rsidRPr="00C93BF6">
              <w:rPr>
                <w:rFonts w:ascii="仿宋_GB2312" w:eastAsia="仿宋_GB2312" w:hAnsi="宋体" w:cs="仿宋_GB2312"/>
                <w:sz w:val="28"/>
                <w:szCs w:val="28"/>
              </w:rPr>
              <w:t>3</w:t>
            </w:r>
            <w:r w:rsidRPr="00C93BF6">
              <w:rPr>
                <w:rFonts w:ascii="仿宋_GB2312" w:eastAsia="仿宋_GB2312" w:hAnsi="宋体" w:cs="仿宋_GB2312" w:hint="eastAsia"/>
                <w:sz w:val="28"/>
                <w:szCs w:val="28"/>
              </w:rPr>
              <w:t>个月以内</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85AF9EB"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20%</w:t>
            </w:r>
          </w:p>
        </w:tc>
      </w:tr>
      <w:tr w:rsidR="000D60CF" w:rsidRPr="00C93BF6" w14:paraId="7ED4AF34"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1302415D"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4.3.2</w:t>
            </w:r>
            <w:r w:rsidRPr="00C93BF6">
              <w:rPr>
                <w:rFonts w:ascii="仿宋_GB2312" w:eastAsia="仿宋_GB2312" w:hAnsi="宋体" w:cs="仿宋_GB2312" w:hint="eastAsia"/>
                <w:sz w:val="28"/>
                <w:szCs w:val="28"/>
              </w:rPr>
              <w:t>原始期限</w:t>
            </w:r>
            <w:r w:rsidRPr="00C93BF6">
              <w:rPr>
                <w:rFonts w:ascii="仿宋_GB2312" w:eastAsia="仿宋_GB2312" w:hAnsi="宋体" w:cs="仿宋_GB2312"/>
                <w:sz w:val="28"/>
                <w:szCs w:val="28"/>
              </w:rPr>
              <w:t>3</w:t>
            </w:r>
            <w:r w:rsidRPr="00C93BF6">
              <w:rPr>
                <w:rFonts w:ascii="仿宋_GB2312" w:eastAsia="仿宋_GB2312" w:hAnsi="宋体" w:cs="仿宋_GB2312" w:hint="eastAsia"/>
                <w:sz w:val="28"/>
                <w:szCs w:val="28"/>
              </w:rPr>
              <w:t>个月以上</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89247AD"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25%</w:t>
            </w:r>
          </w:p>
        </w:tc>
      </w:tr>
      <w:tr w:rsidR="000D60CF" w:rsidRPr="00C93BF6" w14:paraId="49A903ED"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0526BA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4.4</w:t>
            </w:r>
            <w:r w:rsidRPr="00C93BF6">
              <w:rPr>
                <w:rFonts w:ascii="仿宋_GB2312" w:eastAsia="仿宋_GB2312" w:hAnsi="宋体" w:cs="仿宋_GB2312" w:hint="eastAsia"/>
                <w:sz w:val="28"/>
                <w:szCs w:val="28"/>
              </w:rPr>
              <w:t>对我国商业银行的次级债权（未扣除部分）</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34F8D8FC"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100%</w:t>
            </w:r>
          </w:p>
        </w:tc>
      </w:tr>
      <w:tr w:rsidR="000D60CF" w:rsidRPr="00C93BF6" w14:paraId="2353FF4B"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740886C4"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4.5</w:t>
            </w:r>
            <w:r w:rsidRPr="00C93BF6">
              <w:rPr>
                <w:rFonts w:ascii="仿宋_GB2312" w:eastAsia="仿宋_GB2312" w:hAnsi="宋体" w:cs="仿宋_GB2312" w:hint="eastAsia"/>
                <w:sz w:val="28"/>
                <w:szCs w:val="28"/>
              </w:rPr>
              <w:t>对我国其他金融机构的债权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06270E15"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3942AAED" w14:textId="77777777" w:rsidTr="00253AF0">
        <w:trPr>
          <w:trHeight w:val="240"/>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875948B"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5.</w:t>
            </w:r>
            <w:r w:rsidRPr="00C93BF6">
              <w:rPr>
                <w:rFonts w:ascii="仿宋_GB2312" w:eastAsia="仿宋_GB2312" w:hAnsi="宋体" w:cs="仿宋_GB2312" w:hint="eastAsia"/>
                <w:b/>
                <w:bCs/>
                <w:sz w:val="28"/>
                <w:szCs w:val="28"/>
              </w:rPr>
              <w:t>对在其他国家或地区注册的金融机构和公共部门实体的债权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01D09076"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6B46EB8A" w14:textId="77777777" w:rsidTr="00253AF0">
        <w:trPr>
          <w:trHeight w:val="25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DA41872"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5.1</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）以上国家或地区注册的商业银行和公共部门实体的债权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B4AAFCC"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25%</w:t>
            </w:r>
          </w:p>
        </w:tc>
      </w:tr>
      <w:tr w:rsidR="000D60CF" w:rsidRPr="00C93BF6" w14:paraId="15D4C9B4"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1AC70372"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5.2</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AA-</w:t>
            </w:r>
            <w:r w:rsidRPr="00C93BF6">
              <w:rPr>
                <w:rFonts w:ascii="仿宋_GB2312" w:eastAsia="仿宋_GB2312" w:hAnsi="宋体" w:cs="仿宋_GB2312" w:hint="eastAsia"/>
                <w:sz w:val="28"/>
                <w:szCs w:val="28"/>
              </w:rPr>
              <w:t>以下，</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）以上国家或地区注册的商业银行和公共部门实体的债权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FDBFF0F"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50%</w:t>
            </w:r>
          </w:p>
        </w:tc>
      </w:tr>
      <w:tr w:rsidR="000D60CF" w:rsidRPr="00C93BF6" w14:paraId="6DC8CD57" w14:textId="77777777" w:rsidTr="00253AF0">
        <w:trPr>
          <w:trHeight w:val="49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1F4ABD6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5.3</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以下，</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）以上国家或地区注册的商业银行和公共部门实体的债权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1510F68"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008FA6DE"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B7A6429"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lastRenderedPageBreak/>
              <w:t>5.4</w:t>
            </w:r>
            <w:r w:rsidRPr="00C93BF6">
              <w:rPr>
                <w:rFonts w:ascii="仿宋_GB2312" w:eastAsia="仿宋_GB2312" w:hAnsi="宋体" w:cs="仿宋_GB2312" w:hint="eastAsia"/>
                <w:sz w:val="28"/>
                <w:szCs w:val="28"/>
              </w:rPr>
              <w:t>对评级</w:t>
            </w:r>
            <w:r w:rsidRPr="00C93BF6">
              <w:rPr>
                <w:rFonts w:ascii="仿宋_GB2312" w:eastAsia="仿宋_GB2312" w:hAnsi="宋体" w:cs="仿宋_GB2312"/>
                <w:sz w:val="28"/>
                <w:szCs w:val="28"/>
              </w:rPr>
              <w:t>B-</w:t>
            </w:r>
            <w:r w:rsidRPr="00C93BF6">
              <w:rPr>
                <w:rFonts w:ascii="仿宋_GB2312" w:eastAsia="仿宋_GB2312" w:hAnsi="宋体" w:cs="仿宋_GB2312" w:hint="eastAsia"/>
                <w:sz w:val="28"/>
                <w:szCs w:val="28"/>
              </w:rPr>
              <w:t>以下国家或地区注册的商业银行和公共部门实体的债权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316165EB"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150%</w:t>
            </w:r>
          </w:p>
        </w:tc>
      </w:tr>
      <w:tr w:rsidR="000D60CF" w:rsidRPr="00C93BF6" w14:paraId="0F69E826"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201327F"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5.5</w:t>
            </w:r>
            <w:r w:rsidRPr="00C93BF6">
              <w:rPr>
                <w:rFonts w:ascii="仿宋_GB2312" w:eastAsia="仿宋_GB2312" w:hAnsi="宋体" w:cs="仿宋_GB2312" w:hint="eastAsia"/>
                <w:sz w:val="28"/>
                <w:szCs w:val="28"/>
              </w:rPr>
              <w:t>对未评级的国家或地区注册的商业银行和公共部门实体的债权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2FAED2F"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100%</w:t>
            </w:r>
          </w:p>
        </w:tc>
      </w:tr>
      <w:tr w:rsidR="000D60CF" w:rsidRPr="00C93BF6" w14:paraId="3362FE61"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6CFBC13F"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5.6</w:t>
            </w:r>
            <w:r w:rsidRPr="00C93BF6">
              <w:rPr>
                <w:rFonts w:ascii="仿宋_GB2312" w:eastAsia="仿宋_GB2312" w:hAnsi="宋体" w:cs="仿宋_GB2312" w:hint="eastAsia"/>
                <w:sz w:val="28"/>
                <w:szCs w:val="28"/>
              </w:rPr>
              <w:t>对多边开发银行、国际清算银行及国际货币基金组织的债权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131825E"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0%</w:t>
            </w:r>
          </w:p>
        </w:tc>
      </w:tr>
      <w:tr w:rsidR="000D60CF" w:rsidRPr="00C93BF6" w14:paraId="47F35F9B"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77C5ABD9"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5.7</w:t>
            </w:r>
            <w:r w:rsidRPr="00C93BF6">
              <w:rPr>
                <w:rFonts w:ascii="仿宋_GB2312" w:eastAsia="仿宋_GB2312" w:hAnsi="宋体" w:cs="仿宋_GB2312" w:hint="eastAsia"/>
                <w:sz w:val="28"/>
                <w:szCs w:val="28"/>
              </w:rPr>
              <w:t>对其他金融机构的债权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55E9126"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4F769227"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EA7A070"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6.</w:t>
            </w:r>
            <w:r w:rsidRPr="00C93BF6">
              <w:rPr>
                <w:rFonts w:ascii="仿宋_GB2312" w:eastAsia="仿宋_GB2312" w:hAnsi="宋体" w:cs="仿宋_GB2312" w:hint="eastAsia"/>
                <w:b/>
                <w:bCs/>
                <w:sz w:val="28"/>
                <w:szCs w:val="28"/>
              </w:rPr>
              <w:t>对一般企业的债权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FC2CE70"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04DF3396"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2D1B87D"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7.</w:t>
            </w:r>
            <w:r w:rsidRPr="00C93BF6">
              <w:rPr>
                <w:rFonts w:ascii="仿宋_GB2312" w:eastAsia="仿宋_GB2312" w:hAnsi="宋体" w:cs="仿宋_GB2312" w:hint="eastAsia"/>
                <w:b/>
                <w:bCs/>
                <w:sz w:val="28"/>
                <w:szCs w:val="28"/>
              </w:rPr>
              <w:t>对符合标准的微型和小型企业的债权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29F507B"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75%</w:t>
            </w:r>
          </w:p>
        </w:tc>
      </w:tr>
      <w:tr w:rsidR="000D60CF" w:rsidRPr="00C93BF6" w14:paraId="502E3241"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1CABE1D"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8.</w:t>
            </w:r>
            <w:r w:rsidRPr="00C93BF6">
              <w:rPr>
                <w:rFonts w:ascii="仿宋_GB2312" w:eastAsia="仿宋_GB2312" w:hAnsi="宋体" w:cs="仿宋_GB2312" w:hint="eastAsia"/>
                <w:b/>
                <w:bCs/>
                <w:sz w:val="28"/>
                <w:szCs w:val="28"/>
              </w:rPr>
              <w:t>对个人的债权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9EC0FFD"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1AA87D9F"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174AD430"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8.1</w:t>
            </w:r>
            <w:r w:rsidRPr="00C93BF6">
              <w:rPr>
                <w:rFonts w:ascii="仿宋_GB2312" w:eastAsia="仿宋_GB2312" w:hAnsi="宋体" w:cs="仿宋_GB2312" w:hint="eastAsia"/>
                <w:sz w:val="28"/>
                <w:szCs w:val="28"/>
              </w:rPr>
              <w:t>个人住房抵押贷款</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CBAF07C"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50%</w:t>
            </w:r>
          </w:p>
        </w:tc>
      </w:tr>
      <w:tr w:rsidR="000D60CF" w:rsidRPr="00C93BF6" w14:paraId="78579401"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CE7F58F"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8.2</w:t>
            </w:r>
            <w:r w:rsidRPr="00C93BF6">
              <w:rPr>
                <w:rFonts w:ascii="仿宋_GB2312" w:eastAsia="仿宋_GB2312" w:hAnsi="宋体" w:cs="仿宋_GB2312" w:hint="eastAsia"/>
                <w:sz w:val="28"/>
                <w:szCs w:val="28"/>
              </w:rPr>
              <w:t>对已抵押房产，在购房人没有全部归还贷款前，商业银行以再评估后的净值为抵押追加贷款的，追加的部分</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9C43CA6"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150%</w:t>
            </w:r>
          </w:p>
        </w:tc>
      </w:tr>
      <w:tr w:rsidR="000D60CF" w:rsidRPr="00C93BF6" w14:paraId="3F5797B5"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52D5D330"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8.3</w:t>
            </w:r>
            <w:r w:rsidRPr="00C93BF6">
              <w:rPr>
                <w:rFonts w:ascii="仿宋_GB2312" w:eastAsia="仿宋_GB2312" w:hAnsi="宋体" w:cs="仿宋_GB2312" w:hint="eastAsia"/>
                <w:sz w:val="28"/>
                <w:szCs w:val="28"/>
              </w:rPr>
              <w:t>对个人其他债权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013B6C5"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75%</w:t>
            </w:r>
          </w:p>
        </w:tc>
      </w:tr>
      <w:tr w:rsidR="000D60CF" w:rsidRPr="00C93BF6" w14:paraId="0BC2B996"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E63C336"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9.</w:t>
            </w:r>
            <w:r w:rsidRPr="00C93BF6">
              <w:rPr>
                <w:rFonts w:ascii="仿宋_GB2312" w:eastAsia="仿宋_GB2312" w:hAnsi="宋体" w:cs="仿宋_GB2312" w:hint="eastAsia"/>
                <w:b/>
                <w:bCs/>
                <w:sz w:val="28"/>
                <w:szCs w:val="28"/>
              </w:rPr>
              <w:t>租赁资产余值</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444BAE4"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r w:rsidR="000D60CF" w:rsidRPr="00C93BF6" w14:paraId="38D12D52" w14:textId="77777777" w:rsidTr="00253AF0">
        <w:trPr>
          <w:trHeight w:val="405"/>
          <w:jc w:val="center"/>
        </w:trPr>
        <w:tc>
          <w:tcPr>
            <w:tcW w:w="703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856739A"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10.</w:t>
            </w:r>
            <w:r w:rsidRPr="00C93BF6">
              <w:rPr>
                <w:rFonts w:ascii="仿宋_GB2312" w:eastAsia="仿宋_GB2312" w:hAnsi="宋体" w:cs="仿宋_GB2312" w:hint="eastAsia"/>
                <w:b/>
                <w:bCs/>
                <w:sz w:val="28"/>
                <w:szCs w:val="28"/>
              </w:rPr>
              <w:t>股权</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379DB90E"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4B41B9D4" w14:textId="77777777" w:rsidTr="00253AF0">
        <w:trPr>
          <w:trHeight w:val="405"/>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BC47775"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10.1</w:t>
            </w:r>
            <w:r w:rsidRPr="00C93BF6">
              <w:rPr>
                <w:rFonts w:ascii="仿宋_GB2312" w:eastAsia="仿宋_GB2312" w:hAnsi="宋体" w:cs="仿宋_GB2312" w:hint="eastAsia"/>
                <w:sz w:val="28"/>
                <w:szCs w:val="28"/>
              </w:rPr>
              <w:t>对金融机构的股权投资（未扣除部分）</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4B27A715"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250%</w:t>
            </w:r>
          </w:p>
        </w:tc>
      </w:tr>
      <w:tr w:rsidR="000D60CF" w:rsidRPr="00C93BF6" w14:paraId="60A78982" w14:textId="77777777" w:rsidTr="00253AF0">
        <w:trPr>
          <w:trHeight w:val="402"/>
          <w:jc w:val="center"/>
        </w:trPr>
        <w:tc>
          <w:tcPr>
            <w:tcW w:w="703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3382D4C1"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 xml:space="preserve">10.2 </w:t>
            </w:r>
            <w:r w:rsidRPr="00C93BF6">
              <w:rPr>
                <w:rFonts w:ascii="仿宋_GB2312" w:eastAsia="仿宋_GB2312" w:hAnsi="宋体" w:cs="仿宋_GB2312" w:hint="eastAsia"/>
                <w:sz w:val="28"/>
                <w:szCs w:val="28"/>
              </w:rPr>
              <w:t>被动持有的对工商企业的股权投资</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3D28C8AE"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400%</w:t>
            </w:r>
          </w:p>
        </w:tc>
      </w:tr>
      <w:tr w:rsidR="000D60CF" w:rsidRPr="00C93BF6" w14:paraId="1FB40DA1" w14:textId="77777777" w:rsidTr="00253AF0">
        <w:trPr>
          <w:trHeight w:val="402"/>
          <w:jc w:val="center"/>
        </w:trPr>
        <w:tc>
          <w:tcPr>
            <w:tcW w:w="703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16533950"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10.3</w:t>
            </w:r>
            <w:r w:rsidRPr="00C93BF6">
              <w:rPr>
                <w:rFonts w:ascii="仿宋_GB2312" w:eastAsia="仿宋_GB2312" w:hAnsi="宋体" w:cs="仿宋_GB2312" w:hint="eastAsia"/>
                <w:sz w:val="28"/>
                <w:szCs w:val="28"/>
              </w:rPr>
              <w:t>因政策性原因并经国务院特别批准的对工商企业的股权投资</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11CA79EC"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400%</w:t>
            </w:r>
          </w:p>
        </w:tc>
      </w:tr>
      <w:tr w:rsidR="000D60CF" w:rsidRPr="00C93BF6" w14:paraId="06908EBC" w14:textId="77777777" w:rsidTr="00253AF0">
        <w:trPr>
          <w:trHeight w:val="402"/>
          <w:jc w:val="center"/>
        </w:trPr>
        <w:tc>
          <w:tcPr>
            <w:tcW w:w="703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597BAA7C"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10.4</w:t>
            </w:r>
            <w:r w:rsidRPr="00C93BF6">
              <w:rPr>
                <w:rFonts w:ascii="仿宋_GB2312" w:eastAsia="仿宋_GB2312" w:hAnsi="宋体" w:cs="仿宋_GB2312" w:hint="eastAsia"/>
                <w:sz w:val="28"/>
                <w:szCs w:val="28"/>
              </w:rPr>
              <w:t>对工商企业的其他股权投资</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78483E72" w14:textId="77777777" w:rsidR="000D60CF" w:rsidRPr="00C93BF6" w:rsidRDefault="000D60CF" w:rsidP="00FB2A2D">
            <w:pPr>
              <w:spacing w:before="50" w:line="360" w:lineRule="auto"/>
              <w:ind w:leftChars="171" w:left="359"/>
              <w:rPr>
                <w:rFonts w:ascii="仿宋_GB2312" w:eastAsia="仿宋_GB2312" w:hAnsi="宋体"/>
                <w:sz w:val="28"/>
                <w:szCs w:val="28"/>
              </w:rPr>
            </w:pPr>
            <w:r w:rsidRPr="00C93BF6">
              <w:rPr>
                <w:rFonts w:ascii="仿宋_GB2312" w:eastAsia="仿宋_GB2312" w:hAnsi="宋体"/>
                <w:sz w:val="28"/>
                <w:szCs w:val="28"/>
              </w:rPr>
              <w:t>1250%</w:t>
            </w:r>
          </w:p>
        </w:tc>
      </w:tr>
      <w:tr w:rsidR="000D60CF" w:rsidRPr="00C93BF6" w14:paraId="52CE3CDA" w14:textId="77777777" w:rsidTr="00253AF0">
        <w:trPr>
          <w:trHeight w:val="402"/>
          <w:jc w:val="center"/>
        </w:trPr>
        <w:tc>
          <w:tcPr>
            <w:tcW w:w="7030" w:type="dxa"/>
            <w:tcBorders>
              <w:top w:val="nil"/>
              <w:left w:val="single" w:sz="4" w:space="0" w:color="auto"/>
              <w:bottom w:val="single" w:sz="4" w:space="0" w:color="auto"/>
              <w:right w:val="single" w:sz="4" w:space="0" w:color="auto"/>
            </w:tcBorders>
            <w:shd w:val="clear" w:color="auto" w:fill="FFFFFF"/>
            <w:tcMar>
              <w:top w:w="15" w:type="dxa"/>
              <w:left w:w="15" w:type="dxa"/>
              <w:bottom w:w="0" w:type="dxa"/>
              <w:right w:w="15" w:type="dxa"/>
            </w:tcMar>
            <w:vAlign w:val="center"/>
          </w:tcPr>
          <w:p w14:paraId="72C06463"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lastRenderedPageBreak/>
              <w:t>11.</w:t>
            </w:r>
            <w:r w:rsidRPr="00C93BF6">
              <w:rPr>
                <w:rFonts w:ascii="仿宋_GB2312" w:eastAsia="仿宋_GB2312" w:hAnsi="宋体" w:cs="仿宋_GB2312" w:hint="eastAsia"/>
                <w:b/>
                <w:bCs/>
                <w:sz w:val="28"/>
                <w:szCs w:val="28"/>
              </w:rPr>
              <w:t>非自用不动产</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59D81C9B"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hint="eastAsia"/>
                <w:sz w:val="28"/>
                <w:szCs w:val="28"/>
              </w:rPr>
              <w:t xml:space="preserve">　</w:t>
            </w:r>
          </w:p>
        </w:tc>
      </w:tr>
      <w:tr w:rsidR="000D60CF" w:rsidRPr="00C93BF6" w14:paraId="2C86636C" w14:textId="77777777" w:rsidTr="00253AF0">
        <w:tblPrEx>
          <w:tblCellMar>
            <w:left w:w="108" w:type="dxa"/>
            <w:right w:w="108" w:type="dxa"/>
          </w:tblCellMar>
        </w:tblPrEx>
        <w:trPr>
          <w:trHeight w:val="402"/>
          <w:jc w:val="center"/>
        </w:trPr>
        <w:tc>
          <w:tcPr>
            <w:tcW w:w="7030" w:type="dxa"/>
            <w:tcBorders>
              <w:top w:val="single" w:sz="4" w:space="0" w:color="auto"/>
              <w:left w:val="single" w:sz="4" w:space="0" w:color="auto"/>
              <w:bottom w:val="single" w:sz="4" w:space="0" w:color="auto"/>
              <w:right w:val="single" w:sz="4" w:space="0" w:color="auto"/>
            </w:tcBorders>
          </w:tcPr>
          <w:p w14:paraId="4D01492B" w14:textId="77777777" w:rsidR="000D60CF" w:rsidRPr="00C93BF6" w:rsidRDefault="000D60CF" w:rsidP="00C93BF6">
            <w:pPr>
              <w:spacing w:before="50" w:line="360" w:lineRule="auto"/>
              <w:ind w:firstLineChars="200" w:firstLine="560"/>
              <w:rPr>
                <w:rFonts w:ascii="仿宋_GB2312" w:eastAsia="仿宋_GB2312" w:hAnsi="宋体" w:cs="仿宋_GB2312"/>
                <w:b/>
                <w:bCs/>
                <w:sz w:val="28"/>
                <w:szCs w:val="28"/>
              </w:rPr>
            </w:pPr>
            <w:r w:rsidRPr="00C93BF6">
              <w:rPr>
                <w:rFonts w:ascii="仿宋_GB2312" w:eastAsia="仿宋_GB2312" w:hAnsi="宋体" w:cs="仿宋_GB2312"/>
                <w:sz w:val="28"/>
                <w:szCs w:val="28"/>
              </w:rPr>
              <w:t xml:space="preserve">11.1 </w:t>
            </w:r>
            <w:r w:rsidRPr="00C93BF6">
              <w:rPr>
                <w:rFonts w:ascii="仿宋_GB2312" w:eastAsia="仿宋_GB2312" w:hAnsi="宋体" w:cs="仿宋_GB2312" w:hint="eastAsia"/>
                <w:sz w:val="28"/>
                <w:szCs w:val="28"/>
              </w:rPr>
              <w:t>因行使抵押权而持有并在法律规定处分期限内的非自用不动产</w:t>
            </w:r>
          </w:p>
        </w:tc>
        <w:tc>
          <w:tcPr>
            <w:tcW w:w="1491" w:type="dxa"/>
            <w:tcBorders>
              <w:top w:val="single" w:sz="4" w:space="0" w:color="auto"/>
              <w:left w:val="single" w:sz="4" w:space="0" w:color="auto"/>
              <w:bottom w:val="single" w:sz="4" w:space="0" w:color="auto"/>
              <w:right w:val="single" w:sz="4" w:space="0" w:color="auto"/>
            </w:tcBorders>
          </w:tcPr>
          <w:p w14:paraId="4560C585"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100%</w:t>
            </w:r>
          </w:p>
        </w:tc>
      </w:tr>
      <w:tr w:rsidR="000D60CF" w:rsidRPr="00C93BF6" w14:paraId="4A432529" w14:textId="77777777" w:rsidTr="00253AF0">
        <w:tblPrEx>
          <w:tblCellMar>
            <w:left w:w="108" w:type="dxa"/>
            <w:right w:w="108" w:type="dxa"/>
          </w:tblCellMar>
        </w:tblPrEx>
        <w:trPr>
          <w:trHeight w:val="402"/>
          <w:jc w:val="center"/>
        </w:trPr>
        <w:tc>
          <w:tcPr>
            <w:tcW w:w="7030" w:type="dxa"/>
            <w:tcBorders>
              <w:top w:val="single" w:sz="4" w:space="0" w:color="auto"/>
              <w:left w:val="single" w:sz="4" w:space="0" w:color="auto"/>
              <w:bottom w:val="single" w:sz="4" w:space="0" w:color="auto"/>
              <w:right w:val="single" w:sz="4" w:space="0" w:color="auto"/>
            </w:tcBorders>
          </w:tcPr>
          <w:p w14:paraId="3AA0F37C" w14:textId="77777777" w:rsidR="000D60CF" w:rsidRPr="00C93BF6" w:rsidRDefault="000D60CF" w:rsidP="00C93BF6">
            <w:pPr>
              <w:spacing w:before="50" w:line="360" w:lineRule="auto"/>
              <w:ind w:firstLineChars="200" w:firstLine="560"/>
              <w:rPr>
                <w:rFonts w:ascii="仿宋_GB2312" w:eastAsia="仿宋_GB2312" w:hAnsi="宋体" w:cs="仿宋_GB2312"/>
                <w:b/>
                <w:bCs/>
                <w:sz w:val="28"/>
                <w:szCs w:val="28"/>
              </w:rPr>
            </w:pPr>
            <w:r w:rsidRPr="00C93BF6">
              <w:rPr>
                <w:rFonts w:ascii="仿宋_GB2312" w:eastAsia="仿宋_GB2312" w:hAnsi="宋体" w:cs="仿宋_GB2312"/>
                <w:sz w:val="28"/>
                <w:szCs w:val="28"/>
              </w:rPr>
              <w:t xml:space="preserve">11.2 </w:t>
            </w:r>
            <w:r w:rsidRPr="00C93BF6">
              <w:rPr>
                <w:rFonts w:ascii="仿宋_GB2312" w:eastAsia="仿宋_GB2312" w:hAnsi="宋体" w:cs="仿宋_GB2312" w:hint="eastAsia"/>
                <w:sz w:val="28"/>
                <w:szCs w:val="28"/>
              </w:rPr>
              <w:t>其他非自用不动产</w:t>
            </w:r>
          </w:p>
        </w:tc>
        <w:tc>
          <w:tcPr>
            <w:tcW w:w="1491" w:type="dxa"/>
            <w:tcBorders>
              <w:top w:val="single" w:sz="4" w:space="0" w:color="auto"/>
              <w:left w:val="single" w:sz="4" w:space="0" w:color="auto"/>
              <w:bottom w:val="single" w:sz="4" w:space="0" w:color="auto"/>
              <w:right w:val="single" w:sz="4" w:space="0" w:color="auto"/>
            </w:tcBorders>
          </w:tcPr>
          <w:p w14:paraId="4BA9C04D" w14:textId="77777777" w:rsidR="000D60CF" w:rsidRPr="00C93BF6" w:rsidRDefault="000D60CF" w:rsidP="00C93BF6">
            <w:pPr>
              <w:spacing w:before="50" w:line="360" w:lineRule="auto"/>
              <w:ind w:firstLineChars="200" w:firstLine="560"/>
              <w:jc w:val="right"/>
              <w:rPr>
                <w:rFonts w:ascii="仿宋_GB2312" w:eastAsia="仿宋_GB2312" w:hAnsi="宋体"/>
                <w:sz w:val="28"/>
                <w:szCs w:val="28"/>
              </w:rPr>
            </w:pPr>
            <w:r w:rsidRPr="00C93BF6">
              <w:rPr>
                <w:rFonts w:ascii="仿宋_GB2312" w:eastAsia="仿宋_GB2312" w:hAnsi="宋体"/>
                <w:sz w:val="28"/>
                <w:szCs w:val="28"/>
              </w:rPr>
              <w:t>1250%</w:t>
            </w:r>
          </w:p>
        </w:tc>
      </w:tr>
      <w:tr w:rsidR="000D60CF" w:rsidRPr="00C93BF6" w14:paraId="3D451250" w14:textId="77777777" w:rsidTr="00253AF0">
        <w:tblPrEx>
          <w:tblCellMar>
            <w:left w:w="108" w:type="dxa"/>
            <w:right w:w="108" w:type="dxa"/>
          </w:tblCellMar>
        </w:tblPrEx>
        <w:trPr>
          <w:trHeight w:val="402"/>
          <w:jc w:val="center"/>
        </w:trPr>
        <w:tc>
          <w:tcPr>
            <w:tcW w:w="7030" w:type="dxa"/>
            <w:tcBorders>
              <w:top w:val="single" w:sz="4" w:space="0" w:color="auto"/>
              <w:left w:val="single" w:sz="4" w:space="0" w:color="auto"/>
              <w:bottom w:val="single" w:sz="4" w:space="0" w:color="auto"/>
              <w:right w:val="single" w:sz="4" w:space="0" w:color="auto"/>
            </w:tcBorders>
          </w:tcPr>
          <w:p w14:paraId="0CF571E9" w14:textId="77777777" w:rsidR="000D60CF" w:rsidRPr="00C93BF6" w:rsidRDefault="000D60CF" w:rsidP="00C93BF6">
            <w:pPr>
              <w:spacing w:before="50" w:line="360" w:lineRule="auto"/>
              <w:ind w:firstLineChars="200" w:firstLine="561"/>
              <w:rPr>
                <w:rFonts w:ascii="仿宋_GB2312" w:eastAsia="仿宋_GB2312" w:hAnsi="宋体" w:cs="仿宋_GB2312"/>
                <w:b/>
                <w:bCs/>
                <w:sz w:val="28"/>
                <w:szCs w:val="28"/>
              </w:rPr>
            </w:pPr>
            <w:r w:rsidRPr="00C93BF6">
              <w:rPr>
                <w:rFonts w:ascii="仿宋_GB2312" w:eastAsia="仿宋_GB2312" w:hAnsi="宋体" w:cs="仿宋_GB2312"/>
                <w:b/>
                <w:bCs/>
                <w:sz w:val="28"/>
                <w:szCs w:val="28"/>
              </w:rPr>
              <w:t>12.</w:t>
            </w:r>
            <w:r w:rsidRPr="00C93BF6">
              <w:rPr>
                <w:rFonts w:ascii="仿宋_GB2312" w:eastAsia="仿宋_GB2312" w:hAnsi="宋体" w:cs="仿宋_GB2312" w:hint="eastAsia"/>
                <w:b/>
                <w:bCs/>
                <w:sz w:val="28"/>
                <w:szCs w:val="28"/>
              </w:rPr>
              <w:t>其他</w:t>
            </w:r>
          </w:p>
        </w:tc>
        <w:tc>
          <w:tcPr>
            <w:tcW w:w="1491" w:type="dxa"/>
            <w:tcBorders>
              <w:top w:val="single" w:sz="4" w:space="0" w:color="auto"/>
              <w:left w:val="single" w:sz="4" w:space="0" w:color="auto"/>
              <w:bottom w:val="single" w:sz="4" w:space="0" w:color="auto"/>
              <w:right w:val="single" w:sz="4" w:space="0" w:color="auto"/>
            </w:tcBorders>
          </w:tcPr>
          <w:p w14:paraId="3F1FAD38" w14:textId="77777777" w:rsidR="000D60CF" w:rsidRPr="00C93BF6" w:rsidRDefault="000D60CF" w:rsidP="00C93BF6">
            <w:pPr>
              <w:spacing w:before="50" w:line="360" w:lineRule="auto"/>
              <w:ind w:firstLineChars="200" w:firstLine="560"/>
              <w:jc w:val="right"/>
              <w:rPr>
                <w:rFonts w:ascii="仿宋_GB2312" w:eastAsia="仿宋_GB2312"/>
                <w:sz w:val="28"/>
                <w:szCs w:val="28"/>
              </w:rPr>
            </w:pPr>
          </w:p>
        </w:tc>
      </w:tr>
      <w:tr w:rsidR="000D60CF" w:rsidRPr="00C93BF6" w14:paraId="7C000A56" w14:textId="77777777" w:rsidTr="00253AF0">
        <w:trPr>
          <w:trHeight w:val="255"/>
          <w:jc w:val="center"/>
        </w:trPr>
        <w:tc>
          <w:tcPr>
            <w:tcW w:w="7030" w:type="dxa"/>
            <w:tcBorders>
              <w:top w:val="single" w:sz="4" w:space="0" w:color="auto"/>
              <w:left w:val="single" w:sz="4" w:space="0" w:color="auto"/>
              <w:bottom w:val="single" w:sz="4" w:space="0" w:color="auto"/>
              <w:right w:val="single" w:sz="4" w:space="0" w:color="auto"/>
            </w:tcBorders>
            <w:tcMar>
              <w:top w:w="15" w:type="dxa"/>
              <w:left w:w="405" w:type="dxa"/>
              <w:bottom w:w="0" w:type="dxa"/>
              <w:right w:w="15" w:type="dxa"/>
            </w:tcMar>
            <w:vAlign w:val="center"/>
          </w:tcPr>
          <w:p w14:paraId="1DDC602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12.1</w:t>
            </w:r>
            <w:r w:rsidRPr="00C93BF6">
              <w:rPr>
                <w:rFonts w:ascii="仿宋_GB2312" w:eastAsia="仿宋_GB2312" w:hAnsi="宋体" w:cs="仿宋_GB2312" w:hint="eastAsia"/>
                <w:sz w:val="28"/>
                <w:szCs w:val="28"/>
              </w:rPr>
              <w:t>依赖于银行未来盈利的净递延税资产（未扣除部分）</w:t>
            </w:r>
          </w:p>
        </w:tc>
        <w:tc>
          <w:tcPr>
            <w:tcW w:w="1491"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A6190E2"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250%</w:t>
            </w:r>
          </w:p>
        </w:tc>
      </w:tr>
      <w:tr w:rsidR="000D60CF" w:rsidRPr="00C93BF6" w14:paraId="0994718A" w14:textId="77777777" w:rsidTr="00253AF0">
        <w:trPr>
          <w:trHeight w:val="402"/>
          <w:jc w:val="center"/>
        </w:trPr>
        <w:tc>
          <w:tcPr>
            <w:tcW w:w="7030"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8997616"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12.2</w:t>
            </w:r>
            <w:r w:rsidRPr="00C93BF6">
              <w:rPr>
                <w:rFonts w:ascii="仿宋_GB2312" w:eastAsia="仿宋_GB2312" w:hAnsi="宋体" w:cs="仿宋_GB2312" w:hint="eastAsia"/>
                <w:sz w:val="28"/>
                <w:szCs w:val="28"/>
              </w:rPr>
              <w:t>其他表内资产</w:t>
            </w:r>
          </w:p>
        </w:tc>
        <w:tc>
          <w:tcPr>
            <w:tcW w:w="1491" w:type="dxa"/>
            <w:tcBorders>
              <w:top w:val="nil"/>
              <w:left w:val="nil"/>
              <w:bottom w:val="single" w:sz="4" w:space="0" w:color="auto"/>
              <w:right w:val="single" w:sz="4" w:space="0" w:color="auto"/>
            </w:tcBorders>
            <w:tcMar>
              <w:top w:w="15" w:type="dxa"/>
              <w:left w:w="15" w:type="dxa"/>
              <w:bottom w:w="0" w:type="dxa"/>
              <w:right w:w="15" w:type="dxa"/>
            </w:tcMar>
            <w:vAlign w:val="center"/>
          </w:tcPr>
          <w:p w14:paraId="2253F2C0" w14:textId="77777777" w:rsidR="000D60CF" w:rsidRPr="00C93BF6" w:rsidRDefault="000D60CF" w:rsidP="00C93BF6">
            <w:pPr>
              <w:spacing w:before="50" w:line="360" w:lineRule="auto"/>
              <w:ind w:firstLineChars="200" w:firstLine="560"/>
              <w:jc w:val="right"/>
              <w:rPr>
                <w:rFonts w:ascii="仿宋_GB2312" w:eastAsia="仿宋_GB2312"/>
                <w:sz w:val="28"/>
                <w:szCs w:val="28"/>
              </w:rPr>
            </w:pPr>
            <w:r w:rsidRPr="00C93BF6">
              <w:rPr>
                <w:rFonts w:ascii="仿宋_GB2312" w:eastAsia="仿宋_GB2312" w:hAnsi="宋体"/>
                <w:sz w:val="28"/>
                <w:szCs w:val="28"/>
              </w:rPr>
              <w:t>100%</w:t>
            </w:r>
          </w:p>
        </w:tc>
      </w:tr>
    </w:tbl>
    <w:p w14:paraId="1ED4810B" w14:textId="77777777" w:rsidR="000D60CF" w:rsidRPr="00C93BF6" w:rsidRDefault="000D60CF" w:rsidP="00C93BF6">
      <w:pPr>
        <w:spacing w:before="50" w:line="360" w:lineRule="auto"/>
        <w:ind w:firstLineChars="200" w:firstLine="560"/>
        <w:rPr>
          <w:rFonts w:ascii="仿宋_GB2312" w:eastAsia="仿宋_GB2312" w:cs="Calibri"/>
          <w:sz w:val="28"/>
          <w:szCs w:val="28"/>
        </w:rPr>
      </w:pPr>
    </w:p>
    <w:p w14:paraId="59674887" w14:textId="77777777" w:rsidR="000D60CF" w:rsidRPr="00C93BF6" w:rsidRDefault="000D60CF" w:rsidP="00C93BF6">
      <w:pPr>
        <w:spacing w:before="50" w:line="360" w:lineRule="auto"/>
        <w:ind w:firstLineChars="200" w:firstLine="561"/>
        <w:rPr>
          <w:rFonts w:ascii="仿宋_GB2312" w:eastAsia="仿宋_GB2312" w:cs="黑体"/>
          <w:b/>
          <w:bCs/>
          <w:sz w:val="28"/>
          <w:szCs w:val="28"/>
        </w:rPr>
      </w:pPr>
      <w:r w:rsidRPr="00C93BF6">
        <w:rPr>
          <w:rFonts w:ascii="仿宋_GB2312" w:eastAsia="仿宋_GB2312" w:cs="黑体" w:hint="eastAsia"/>
          <w:b/>
          <w:bCs/>
          <w:sz w:val="28"/>
          <w:szCs w:val="28"/>
        </w:rPr>
        <w:t>二、表外项目信用转换系数</w:t>
      </w:r>
    </w:p>
    <w:p w14:paraId="6A565276" w14:textId="77777777" w:rsidR="000D60CF" w:rsidRPr="00C93BF6" w:rsidRDefault="000D60CF" w:rsidP="00C93BF6">
      <w:pPr>
        <w:spacing w:before="50" w:line="360" w:lineRule="auto"/>
        <w:ind w:firstLineChars="200" w:firstLine="561"/>
        <w:jc w:val="center"/>
        <w:rPr>
          <w:rFonts w:ascii="仿宋_GB2312" w:eastAsia="仿宋_GB2312" w:cs="??_GB2312"/>
          <w:b/>
          <w:bCs/>
          <w:sz w:val="28"/>
          <w:szCs w:val="28"/>
        </w:rPr>
      </w:pPr>
      <w:r w:rsidRPr="00C93BF6">
        <w:rPr>
          <w:rFonts w:ascii="仿宋_GB2312" w:eastAsia="仿宋_GB2312" w:cs="??_GB2312" w:hint="eastAsia"/>
          <w:b/>
          <w:bCs/>
          <w:sz w:val="28"/>
          <w:szCs w:val="28"/>
        </w:rPr>
        <w:t>表</w:t>
      </w:r>
      <w:r w:rsidRPr="00C93BF6">
        <w:rPr>
          <w:rFonts w:ascii="仿宋_GB2312" w:eastAsia="仿宋_GB2312" w:cs="??_GB2312"/>
          <w:b/>
          <w:bCs/>
          <w:sz w:val="28"/>
          <w:szCs w:val="28"/>
        </w:rPr>
        <w:t xml:space="preserve">2 </w:t>
      </w:r>
      <w:r w:rsidRPr="00C93BF6">
        <w:rPr>
          <w:rFonts w:ascii="仿宋_GB2312" w:eastAsia="仿宋_GB2312" w:cs="??_GB2312" w:hint="eastAsia"/>
          <w:b/>
          <w:bCs/>
          <w:sz w:val="28"/>
          <w:szCs w:val="28"/>
        </w:rPr>
        <w:t>表外项目信用转换系数表</w:t>
      </w:r>
    </w:p>
    <w:tbl>
      <w:tblPr>
        <w:tblW w:w="0" w:type="auto"/>
        <w:jc w:val="center"/>
        <w:tblLayout w:type="fixed"/>
        <w:tblCellMar>
          <w:left w:w="0" w:type="dxa"/>
          <w:right w:w="0" w:type="dxa"/>
        </w:tblCellMar>
        <w:tblLook w:val="0000" w:firstRow="0" w:lastRow="0" w:firstColumn="0" w:lastColumn="0" w:noHBand="0" w:noVBand="0"/>
      </w:tblPr>
      <w:tblGrid>
        <w:gridCol w:w="5621"/>
        <w:gridCol w:w="2511"/>
      </w:tblGrid>
      <w:tr w:rsidR="000D60CF" w:rsidRPr="00C93BF6" w14:paraId="458D3669" w14:textId="77777777" w:rsidTr="00253AF0">
        <w:trPr>
          <w:trHeight w:val="285"/>
          <w:jc w:val="center"/>
        </w:trPr>
        <w:tc>
          <w:tcPr>
            <w:tcW w:w="5621" w:type="dxa"/>
            <w:tcBorders>
              <w:top w:val="single" w:sz="8"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CA65688" w14:textId="77777777" w:rsidR="000D60CF" w:rsidRPr="00C93BF6" w:rsidRDefault="000D60CF" w:rsidP="00C93BF6">
            <w:pPr>
              <w:spacing w:before="50" w:line="360" w:lineRule="auto"/>
              <w:ind w:firstLineChars="200" w:firstLine="560"/>
              <w:jc w:val="center"/>
              <w:rPr>
                <w:rFonts w:ascii="仿宋_GB2312" w:eastAsia="仿宋_GB2312" w:hAnsi="宋体" w:cs="仿宋_GB2312"/>
                <w:sz w:val="28"/>
                <w:szCs w:val="28"/>
              </w:rPr>
            </w:pPr>
            <w:r w:rsidRPr="00C93BF6">
              <w:rPr>
                <w:rFonts w:ascii="仿宋_GB2312" w:eastAsia="仿宋_GB2312" w:hAnsi="宋体" w:cs="仿宋_GB2312" w:hint="eastAsia"/>
                <w:sz w:val="28"/>
                <w:szCs w:val="28"/>
              </w:rPr>
              <w:t>项目</w:t>
            </w:r>
          </w:p>
        </w:tc>
        <w:tc>
          <w:tcPr>
            <w:tcW w:w="2511"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14:paraId="645254D4" w14:textId="77777777" w:rsidR="000D60CF" w:rsidRPr="00C93BF6" w:rsidRDefault="000D60CF" w:rsidP="00C93BF6">
            <w:pPr>
              <w:spacing w:before="50" w:line="360" w:lineRule="auto"/>
              <w:ind w:firstLineChars="200" w:firstLine="560"/>
              <w:jc w:val="center"/>
              <w:rPr>
                <w:rFonts w:ascii="仿宋_GB2312" w:eastAsia="仿宋_GB2312" w:hAnsi="宋体" w:cs="仿宋_GB2312"/>
                <w:sz w:val="28"/>
                <w:szCs w:val="28"/>
              </w:rPr>
            </w:pPr>
            <w:r w:rsidRPr="00C93BF6">
              <w:rPr>
                <w:rFonts w:ascii="仿宋_GB2312" w:eastAsia="仿宋_GB2312" w:hAnsi="宋体" w:cs="仿宋_GB2312" w:hint="eastAsia"/>
                <w:sz w:val="28"/>
                <w:szCs w:val="28"/>
              </w:rPr>
              <w:t>信用转换系数</w:t>
            </w:r>
          </w:p>
        </w:tc>
      </w:tr>
      <w:tr w:rsidR="000D60CF" w:rsidRPr="00C93BF6" w14:paraId="5078C6CD" w14:textId="77777777" w:rsidTr="00253AF0">
        <w:trPr>
          <w:trHeight w:val="480"/>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56D3B7A"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w:t>
            </w:r>
            <w:r w:rsidRPr="00C93BF6">
              <w:rPr>
                <w:rFonts w:ascii="仿宋_GB2312" w:eastAsia="仿宋_GB2312" w:hAnsi="宋体" w:cs="仿宋_GB2312" w:hint="eastAsia"/>
                <w:sz w:val="28"/>
                <w:szCs w:val="28"/>
              </w:rPr>
              <w:t>等同于贷款的授信业务</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5A8F8F49"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100%</w:t>
            </w:r>
          </w:p>
        </w:tc>
      </w:tr>
      <w:tr w:rsidR="000D60CF" w:rsidRPr="00C93BF6" w14:paraId="3EDC47F2"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46F73CC"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w:t>
            </w:r>
            <w:r w:rsidRPr="00C93BF6">
              <w:rPr>
                <w:rFonts w:ascii="仿宋_GB2312" w:eastAsia="仿宋_GB2312" w:hAnsi="宋体" w:cs="仿宋_GB2312" w:hint="eastAsia"/>
                <w:sz w:val="28"/>
                <w:szCs w:val="28"/>
              </w:rPr>
              <w:t>贷款承诺</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02BA4456"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hint="eastAsia"/>
                <w:sz w:val="28"/>
                <w:szCs w:val="28"/>
              </w:rPr>
              <w:t xml:space="preserve">　</w:t>
            </w:r>
          </w:p>
        </w:tc>
      </w:tr>
      <w:tr w:rsidR="000D60CF" w:rsidRPr="00C93BF6" w14:paraId="69ED51FC"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23C0EB4E"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2.1</w:t>
            </w:r>
            <w:r w:rsidRPr="00C93BF6">
              <w:rPr>
                <w:rFonts w:ascii="仿宋_GB2312" w:eastAsia="仿宋_GB2312" w:hAnsi="宋体" w:cs="仿宋_GB2312" w:hint="eastAsia"/>
                <w:sz w:val="28"/>
                <w:szCs w:val="28"/>
              </w:rPr>
              <w:t>原始期限不超过</w:t>
            </w:r>
            <w:r w:rsidRPr="00C93BF6">
              <w:rPr>
                <w:rFonts w:ascii="仿宋_GB2312" w:eastAsia="仿宋_GB2312" w:hAnsi="宋体" w:cs="仿宋_GB2312"/>
                <w:sz w:val="28"/>
                <w:szCs w:val="28"/>
              </w:rPr>
              <w:t>1</w:t>
            </w:r>
            <w:r w:rsidRPr="00C93BF6">
              <w:rPr>
                <w:rFonts w:ascii="仿宋_GB2312" w:eastAsia="仿宋_GB2312" w:hAnsi="宋体" w:cs="仿宋_GB2312" w:hint="eastAsia"/>
                <w:sz w:val="28"/>
                <w:szCs w:val="28"/>
              </w:rPr>
              <w:t>年的贷款承诺</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3B0FD864"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20%</w:t>
            </w:r>
          </w:p>
        </w:tc>
      </w:tr>
      <w:tr w:rsidR="000D60CF" w:rsidRPr="00C93BF6" w14:paraId="668654C7"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506F32B2"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2.2</w:t>
            </w:r>
            <w:r w:rsidRPr="00C93BF6">
              <w:rPr>
                <w:rFonts w:ascii="仿宋_GB2312" w:eastAsia="仿宋_GB2312" w:hAnsi="宋体" w:cs="仿宋_GB2312" w:hint="eastAsia"/>
                <w:sz w:val="28"/>
                <w:szCs w:val="28"/>
              </w:rPr>
              <w:t>原始期限</w:t>
            </w:r>
            <w:r w:rsidRPr="00C93BF6">
              <w:rPr>
                <w:rFonts w:ascii="仿宋_GB2312" w:eastAsia="仿宋_GB2312" w:hAnsi="宋体" w:cs="仿宋_GB2312"/>
                <w:sz w:val="28"/>
                <w:szCs w:val="28"/>
              </w:rPr>
              <w:t>1</w:t>
            </w:r>
            <w:r w:rsidRPr="00C93BF6">
              <w:rPr>
                <w:rFonts w:ascii="仿宋_GB2312" w:eastAsia="仿宋_GB2312" w:hAnsi="宋体" w:cs="仿宋_GB2312" w:hint="eastAsia"/>
                <w:sz w:val="28"/>
                <w:szCs w:val="28"/>
              </w:rPr>
              <w:t>年以上的贷款承诺</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54F8C40F"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50%</w:t>
            </w:r>
          </w:p>
        </w:tc>
      </w:tr>
      <w:tr w:rsidR="000D60CF" w:rsidRPr="00C93BF6" w14:paraId="38FBE253"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405" w:type="dxa"/>
              <w:bottom w:w="0" w:type="dxa"/>
              <w:right w:w="15" w:type="dxa"/>
            </w:tcMar>
            <w:vAlign w:val="center"/>
          </w:tcPr>
          <w:p w14:paraId="4A6F549F"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2.3</w:t>
            </w:r>
            <w:r w:rsidRPr="00C93BF6">
              <w:rPr>
                <w:rFonts w:ascii="仿宋_GB2312" w:eastAsia="仿宋_GB2312" w:hAnsi="宋体" w:cs="仿宋_GB2312" w:hint="eastAsia"/>
                <w:sz w:val="28"/>
                <w:szCs w:val="28"/>
              </w:rPr>
              <w:t>可随时无条件撤销的贷款承诺</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2C0E3B0B"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0%</w:t>
            </w:r>
          </w:p>
        </w:tc>
      </w:tr>
      <w:tr w:rsidR="000D60CF" w:rsidRPr="00C93BF6" w14:paraId="0149C3EC"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2264F03"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3.</w:t>
            </w:r>
            <w:r w:rsidRPr="00C93BF6">
              <w:rPr>
                <w:rFonts w:ascii="仿宋_GB2312" w:eastAsia="仿宋_GB2312" w:hAnsi="宋体" w:cs="仿宋_GB2312" w:hint="eastAsia"/>
                <w:sz w:val="28"/>
                <w:szCs w:val="28"/>
              </w:rPr>
              <w:t>未使用的信用卡授信额度</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02B1FD29"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p>
        </w:tc>
      </w:tr>
      <w:tr w:rsidR="000D60CF" w:rsidRPr="00C93BF6" w14:paraId="44922028"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5EDE6CB"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 xml:space="preserve">3.1 </w:t>
            </w:r>
            <w:r w:rsidRPr="00C93BF6">
              <w:rPr>
                <w:rFonts w:ascii="仿宋_GB2312" w:eastAsia="仿宋_GB2312" w:hAnsi="宋体" w:cs="仿宋_GB2312" w:hint="eastAsia"/>
                <w:sz w:val="28"/>
                <w:szCs w:val="28"/>
              </w:rPr>
              <w:t>一般未使用额度</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12BBAABF"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50%</w:t>
            </w:r>
          </w:p>
        </w:tc>
      </w:tr>
      <w:tr w:rsidR="000D60CF" w:rsidRPr="00C93BF6" w14:paraId="2CAC3E74"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34E88876"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 xml:space="preserve">3.2 </w:t>
            </w:r>
            <w:r w:rsidRPr="00C93BF6">
              <w:rPr>
                <w:rFonts w:ascii="仿宋_GB2312" w:eastAsia="仿宋_GB2312" w:hAnsi="宋体" w:cs="仿宋_GB2312" w:hint="eastAsia"/>
                <w:sz w:val="28"/>
                <w:szCs w:val="28"/>
              </w:rPr>
              <w:t>符合标准的未使用额度</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57C7F26E"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20%</w:t>
            </w:r>
          </w:p>
        </w:tc>
      </w:tr>
      <w:tr w:rsidR="000D60CF" w:rsidRPr="00C93BF6" w14:paraId="3DFBFEF4"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66E4AF7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4.</w:t>
            </w:r>
            <w:r w:rsidRPr="00C93BF6">
              <w:rPr>
                <w:rFonts w:ascii="仿宋_GB2312" w:eastAsia="仿宋_GB2312" w:hAnsi="宋体" w:cs="仿宋_GB2312" w:hint="eastAsia"/>
                <w:sz w:val="28"/>
                <w:szCs w:val="28"/>
              </w:rPr>
              <w:t>票据发行便利</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6E2C8BCC"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50%</w:t>
            </w:r>
          </w:p>
        </w:tc>
      </w:tr>
      <w:tr w:rsidR="000D60CF" w:rsidRPr="00C93BF6" w14:paraId="33142444"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0770BB93"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5.</w:t>
            </w:r>
            <w:r w:rsidRPr="00C93BF6">
              <w:rPr>
                <w:rFonts w:ascii="仿宋_GB2312" w:eastAsia="仿宋_GB2312" w:hAnsi="宋体" w:cs="仿宋_GB2312" w:hint="eastAsia"/>
                <w:sz w:val="28"/>
                <w:szCs w:val="28"/>
              </w:rPr>
              <w:t>循环认购便利</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0AD89D38"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50%</w:t>
            </w:r>
          </w:p>
        </w:tc>
      </w:tr>
      <w:tr w:rsidR="000D60CF" w:rsidRPr="00C93BF6" w14:paraId="0C025908"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26C02404"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lastRenderedPageBreak/>
              <w:t>6.</w:t>
            </w:r>
            <w:r w:rsidRPr="00C93BF6">
              <w:rPr>
                <w:rFonts w:ascii="仿宋_GB2312" w:eastAsia="仿宋_GB2312" w:hAnsi="宋体" w:cs="仿宋_GB2312" w:hint="eastAsia"/>
                <w:sz w:val="28"/>
                <w:szCs w:val="28"/>
              </w:rPr>
              <w:t>银行借出的证券或用作抵押物的证券</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343262BA"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100%</w:t>
            </w:r>
          </w:p>
        </w:tc>
      </w:tr>
      <w:tr w:rsidR="000D60CF" w:rsidRPr="00C93BF6" w14:paraId="064963DD"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11E4B1E"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7.</w:t>
            </w:r>
            <w:r w:rsidRPr="00C93BF6">
              <w:rPr>
                <w:rFonts w:ascii="仿宋_GB2312" w:eastAsia="仿宋_GB2312" w:hAnsi="宋体" w:cs="仿宋_GB2312" w:hint="eastAsia"/>
                <w:sz w:val="28"/>
                <w:szCs w:val="28"/>
              </w:rPr>
              <w:t>与贸易直接相关的短期或有项目</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1234951E"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20%</w:t>
            </w:r>
          </w:p>
        </w:tc>
      </w:tr>
      <w:tr w:rsidR="000D60CF" w:rsidRPr="00C93BF6" w14:paraId="4C73C915"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4888BF18"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8.</w:t>
            </w:r>
            <w:r w:rsidRPr="00C93BF6">
              <w:rPr>
                <w:rFonts w:ascii="仿宋_GB2312" w:eastAsia="仿宋_GB2312" w:hAnsi="宋体" w:cs="仿宋_GB2312" w:hint="eastAsia"/>
                <w:sz w:val="28"/>
                <w:szCs w:val="28"/>
              </w:rPr>
              <w:t>与交易直接相关的或有项目</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4117E332"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50%</w:t>
            </w:r>
          </w:p>
        </w:tc>
      </w:tr>
      <w:tr w:rsidR="000D60CF" w:rsidRPr="00C93BF6" w14:paraId="736F4E99"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0F61541"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9.</w:t>
            </w:r>
            <w:r w:rsidRPr="00C93BF6">
              <w:rPr>
                <w:rFonts w:ascii="仿宋_GB2312" w:eastAsia="仿宋_GB2312" w:hAnsi="宋体" w:cs="仿宋_GB2312" w:hint="eastAsia"/>
                <w:sz w:val="28"/>
                <w:szCs w:val="28"/>
              </w:rPr>
              <w:t>信用风险仍在银行的资产销售与购买协议</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4B9A244C"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100%</w:t>
            </w:r>
          </w:p>
        </w:tc>
      </w:tr>
      <w:tr w:rsidR="000D60CF" w:rsidRPr="00C93BF6" w14:paraId="1770C325"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10273F5E"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 xml:space="preserve">10. </w:t>
            </w:r>
            <w:r w:rsidRPr="00C93BF6">
              <w:rPr>
                <w:rFonts w:ascii="仿宋_GB2312" w:eastAsia="仿宋_GB2312" w:hAnsi="宋体" w:cs="仿宋_GB2312" w:hint="eastAsia"/>
                <w:sz w:val="28"/>
                <w:szCs w:val="28"/>
              </w:rPr>
              <w:t>远期资产购买、远期定期存款、部分交款的股票及证券</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4CB6AF52"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100%</w:t>
            </w:r>
          </w:p>
        </w:tc>
      </w:tr>
      <w:tr w:rsidR="000D60CF" w:rsidRPr="00C93BF6" w14:paraId="1389E69C" w14:textId="77777777" w:rsidTr="00253AF0">
        <w:trPr>
          <w:trHeight w:val="285"/>
          <w:jc w:val="center"/>
        </w:trPr>
        <w:tc>
          <w:tcPr>
            <w:tcW w:w="5621"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14:paraId="5BFB1A90"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sz w:val="28"/>
                <w:szCs w:val="28"/>
              </w:rPr>
              <w:t>11.</w:t>
            </w:r>
            <w:r w:rsidRPr="00C93BF6">
              <w:rPr>
                <w:rFonts w:ascii="仿宋_GB2312" w:eastAsia="仿宋_GB2312" w:hAnsi="宋体" w:cs="仿宋_GB2312" w:hint="eastAsia"/>
                <w:sz w:val="28"/>
                <w:szCs w:val="28"/>
              </w:rPr>
              <w:t>其他表外项目</w:t>
            </w:r>
          </w:p>
        </w:tc>
        <w:tc>
          <w:tcPr>
            <w:tcW w:w="2511" w:type="dxa"/>
            <w:tcBorders>
              <w:top w:val="nil"/>
              <w:left w:val="nil"/>
              <w:bottom w:val="single" w:sz="4" w:space="0" w:color="auto"/>
              <w:right w:val="single" w:sz="4" w:space="0" w:color="auto"/>
            </w:tcBorders>
            <w:tcMar>
              <w:top w:w="15" w:type="dxa"/>
              <w:left w:w="15" w:type="dxa"/>
              <w:bottom w:w="0" w:type="dxa"/>
              <w:right w:w="15" w:type="dxa"/>
            </w:tcMar>
            <w:vAlign w:val="center"/>
          </w:tcPr>
          <w:p w14:paraId="4B36E206" w14:textId="77777777" w:rsidR="000D60CF" w:rsidRPr="00C93BF6" w:rsidRDefault="000D60CF" w:rsidP="00C93BF6">
            <w:pPr>
              <w:spacing w:before="50" w:line="360" w:lineRule="auto"/>
              <w:ind w:firstLineChars="200" w:firstLine="560"/>
              <w:jc w:val="right"/>
              <w:rPr>
                <w:rFonts w:ascii="仿宋_GB2312" w:eastAsia="仿宋_GB2312" w:hAnsi="宋体" w:cs="仿宋_GB2312"/>
                <w:sz w:val="28"/>
                <w:szCs w:val="28"/>
              </w:rPr>
            </w:pPr>
            <w:r w:rsidRPr="00C93BF6">
              <w:rPr>
                <w:rFonts w:ascii="仿宋_GB2312" w:eastAsia="仿宋_GB2312" w:hAnsi="宋体" w:cs="仿宋_GB2312"/>
                <w:sz w:val="28"/>
                <w:szCs w:val="28"/>
              </w:rPr>
              <w:t>100%</w:t>
            </w:r>
          </w:p>
        </w:tc>
      </w:tr>
    </w:tbl>
    <w:p w14:paraId="2C60ADC3" w14:textId="77777777" w:rsidR="000D60CF" w:rsidRPr="00C93BF6" w:rsidRDefault="000D60CF" w:rsidP="00C93BF6">
      <w:pPr>
        <w:spacing w:before="50" w:line="360" w:lineRule="auto"/>
        <w:ind w:firstLineChars="200" w:firstLine="560"/>
        <w:rPr>
          <w:rFonts w:ascii="仿宋_GB2312" w:eastAsia="仿宋_GB2312" w:cs="仿宋_GB2312"/>
          <w:sz w:val="28"/>
          <w:szCs w:val="28"/>
        </w:rPr>
      </w:pPr>
      <w:r w:rsidRPr="00C93BF6">
        <w:rPr>
          <w:rFonts w:ascii="仿宋_GB2312" w:eastAsia="仿宋_GB2312" w:cs="仿宋_GB2312" w:hint="eastAsia"/>
          <w:sz w:val="28"/>
          <w:szCs w:val="28"/>
        </w:rPr>
        <w:t>（一）等同于贷款的授信业务，包括一般负债担保、承兑汇票、具有承兑性质的背书及融资性保函等。</w:t>
      </w:r>
    </w:p>
    <w:p w14:paraId="13F6E96F" w14:textId="77777777" w:rsidR="000D60CF" w:rsidRPr="00C93BF6" w:rsidRDefault="000D60CF" w:rsidP="00C93BF6">
      <w:pPr>
        <w:spacing w:before="50" w:line="360" w:lineRule="auto"/>
        <w:ind w:firstLineChars="200" w:firstLine="560"/>
        <w:rPr>
          <w:rFonts w:ascii="仿宋_GB2312" w:eastAsia="仿宋_GB2312" w:cs="仿宋_GB2312"/>
          <w:sz w:val="28"/>
          <w:szCs w:val="28"/>
        </w:rPr>
      </w:pPr>
      <w:r w:rsidRPr="00C93BF6">
        <w:rPr>
          <w:rFonts w:ascii="仿宋_GB2312" w:eastAsia="仿宋_GB2312" w:cs="仿宋_GB2312" w:hint="eastAsia"/>
          <w:sz w:val="28"/>
          <w:szCs w:val="28"/>
        </w:rPr>
        <w:t>（二）与贸易直接相关的短期或有项目，主要指有优先索偿权的装运货物作抵押的跟单信用证。</w:t>
      </w:r>
    </w:p>
    <w:p w14:paraId="026607C4" w14:textId="77777777" w:rsidR="000D60CF" w:rsidRPr="00C93BF6" w:rsidRDefault="000D60CF" w:rsidP="00C93BF6">
      <w:pPr>
        <w:spacing w:before="50" w:line="360" w:lineRule="auto"/>
        <w:ind w:firstLineChars="200" w:firstLine="560"/>
        <w:rPr>
          <w:rFonts w:ascii="仿宋_GB2312" w:eastAsia="仿宋_GB2312" w:cs="仿宋_GB2312"/>
          <w:sz w:val="28"/>
          <w:szCs w:val="28"/>
        </w:rPr>
      </w:pPr>
      <w:r w:rsidRPr="00C93BF6">
        <w:rPr>
          <w:rFonts w:ascii="仿宋_GB2312" w:eastAsia="仿宋_GB2312" w:cs="仿宋_GB2312" w:hint="eastAsia"/>
          <w:sz w:val="28"/>
          <w:szCs w:val="28"/>
        </w:rPr>
        <w:t>（三）与交易直接相关的或有项目，包括投标保函、履约保函、预付保函、预留金保函等。</w:t>
      </w:r>
    </w:p>
    <w:p w14:paraId="1F44A5C6" w14:textId="77777777" w:rsidR="000D60CF" w:rsidRPr="00C93BF6" w:rsidRDefault="000D60CF" w:rsidP="00C93BF6">
      <w:pPr>
        <w:spacing w:before="50" w:line="360" w:lineRule="auto"/>
        <w:ind w:firstLineChars="200" w:firstLine="560"/>
        <w:rPr>
          <w:rFonts w:ascii="仿宋_GB2312" w:eastAsia="仿宋_GB2312" w:cs="仿宋_GB2312"/>
          <w:sz w:val="28"/>
          <w:szCs w:val="28"/>
        </w:rPr>
      </w:pPr>
      <w:r w:rsidRPr="00C93BF6">
        <w:rPr>
          <w:rFonts w:ascii="仿宋_GB2312" w:eastAsia="仿宋_GB2312" w:cs="仿宋_GB2312" w:hint="eastAsia"/>
          <w:sz w:val="28"/>
          <w:szCs w:val="28"/>
        </w:rPr>
        <w:t>（四）信用风险仍在银行的资产销售与购买协议，包括资产回购协议和有追索权的资产销售。</w:t>
      </w:r>
    </w:p>
    <w:p w14:paraId="27985FEB" w14:textId="77777777" w:rsidR="000D60CF" w:rsidRPr="00C93BF6" w:rsidRDefault="000D60CF" w:rsidP="00C93BF6">
      <w:pPr>
        <w:spacing w:before="50" w:line="360" w:lineRule="auto"/>
        <w:ind w:firstLineChars="200" w:firstLine="561"/>
        <w:rPr>
          <w:rFonts w:ascii="仿宋_GB2312" w:eastAsia="仿宋_GB2312" w:cs="黑体"/>
          <w:b/>
          <w:bCs/>
          <w:sz w:val="28"/>
          <w:szCs w:val="28"/>
        </w:rPr>
      </w:pPr>
      <w:r w:rsidRPr="00C93BF6">
        <w:rPr>
          <w:rFonts w:ascii="仿宋_GB2312" w:eastAsia="仿宋_GB2312" w:cs="黑体" w:hint="eastAsia"/>
          <w:b/>
          <w:bCs/>
          <w:sz w:val="28"/>
          <w:szCs w:val="28"/>
        </w:rPr>
        <w:t>三、证券、商品、外汇交易清算过程中形成的风险暴露</w:t>
      </w:r>
    </w:p>
    <w:p w14:paraId="1BA493B0" w14:textId="77777777" w:rsidR="000D60CF" w:rsidRPr="00C93BF6" w:rsidRDefault="000D60CF" w:rsidP="00C93BF6">
      <w:pPr>
        <w:spacing w:before="50" w:line="360" w:lineRule="auto"/>
        <w:ind w:firstLineChars="200" w:firstLine="561"/>
        <w:rPr>
          <w:rFonts w:ascii="仿宋_GB2312" w:eastAsia="仿宋_GB2312" w:cs="??_GB2312"/>
          <w:b/>
          <w:bCs/>
          <w:sz w:val="28"/>
          <w:szCs w:val="28"/>
        </w:rPr>
      </w:pPr>
      <w:r w:rsidRPr="00C93BF6">
        <w:rPr>
          <w:rFonts w:ascii="仿宋_GB2312" w:eastAsia="仿宋_GB2312" w:cs="??_GB2312" w:hint="eastAsia"/>
          <w:b/>
          <w:bCs/>
          <w:sz w:val="28"/>
          <w:szCs w:val="28"/>
        </w:rPr>
        <w:t>（一）货款对付模式下的信用风险加权资产计算</w:t>
      </w:r>
    </w:p>
    <w:p w14:paraId="13C28E33"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Calibri"/>
          <w:sz w:val="28"/>
          <w:szCs w:val="28"/>
        </w:rPr>
        <w:t>1</w:t>
      </w:r>
      <w:r w:rsidRPr="00C93BF6">
        <w:rPr>
          <w:rFonts w:ascii="仿宋_GB2312" w:eastAsia="仿宋_GB2312" w:cs="仿宋_GB2312" w:hint="eastAsia"/>
          <w:sz w:val="28"/>
          <w:szCs w:val="28"/>
        </w:rPr>
        <w:t>．货款对付模式指在结算日，证券和资金、资金和资金进行实时同步、最终一致、不可撤销的交收。</w:t>
      </w:r>
    </w:p>
    <w:p w14:paraId="29D5E40A" w14:textId="77777777" w:rsidR="00FB2A2D" w:rsidRDefault="000D60CF" w:rsidP="00C93BF6">
      <w:pPr>
        <w:spacing w:before="50" w:line="360" w:lineRule="auto"/>
        <w:ind w:firstLineChars="200" w:firstLine="560"/>
        <w:rPr>
          <w:rFonts w:ascii="仿宋_GB2312" w:eastAsia="仿宋_GB2312" w:hAnsi="Times New Roman" w:cs="Times New Roman"/>
          <w:sz w:val="28"/>
          <w:szCs w:val="28"/>
        </w:rPr>
      </w:pPr>
      <w:r w:rsidRPr="00C93BF6">
        <w:rPr>
          <w:rFonts w:ascii="仿宋_GB2312" w:eastAsia="仿宋_GB2312" w:cs="Calibri"/>
          <w:sz w:val="28"/>
          <w:szCs w:val="28"/>
        </w:rPr>
        <w:t>2</w:t>
      </w:r>
      <w:r w:rsidRPr="00C93BF6">
        <w:rPr>
          <w:rFonts w:ascii="仿宋_GB2312" w:eastAsia="仿宋_GB2312" w:cs="仿宋_GB2312" w:hint="eastAsia"/>
          <w:sz w:val="28"/>
          <w:szCs w:val="28"/>
        </w:rPr>
        <w:t>．货款对付模式下信用风险加权资产为</w:t>
      </w:r>
      <w:r w:rsidRPr="00C93BF6">
        <w:rPr>
          <w:rFonts w:ascii="仿宋_GB2312" w:eastAsia="仿宋_GB2312" w:hAnsi="Times New Roman" w:cs="Times New Roman"/>
          <w:sz w:val="28"/>
          <w:szCs w:val="28"/>
        </w:rPr>
        <w:pict w14:anchorId="3F207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9pt;height:13.8pt;mso-position-horizontal-relative:page;mso-position-vertical-relative:page">
            <v:imagedata r:id="rId8" o:title=""/>
          </v:shape>
        </w:pict>
      </w:r>
    </w:p>
    <w:p w14:paraId="0D9A1F3D"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hAnsi="Times New Roman" w:cs="Times New Roman"/>
          <w:sz w:val="28"/>
          <w:szCs w:val="28"/>
        </w:rPr>
        <w:pict w14:anchorId="5B2326BF">
          <v:shape id="图片 2" o:spid="_x0000_i1026" type="#_x0000_t75" style="width:106.8pt;height:15pt;mso-position-horizontal-relative:page;mso-position-vertical-relative:page">
            <v:imagedata r:id="rId9" o:title=""/>
          </v:shape>
        </w:pict>
      </w:r>
    </w:p>
    <w:p w14:paraId="6CAD2533"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仿宋_GB2312" w:hint="eastAsia"/>
          <w:sz w:val="28"/>
          <w:szCs w:val="28"/>
        </w:rPr>
        <w:t>其中：</w:t>
      </w:r>
    </w:p>
    <w:p w14:paraId="4978FEA7"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仿宋_GB2312" w:hint="eastAsia"/>
          <w:sz w:val="28"/>
          <w:szCs w:val="28"/>
        </w:rPr>
        <w:t>（</w:t>
      </w:r>
      <w:r w:rsidRPr="00C93BF6">
        <w:rPr>
          <w:rFonts w:ascii="仿宋_GB2312" w:eastAsia="仿宋_GB2312" w:cs="Calibri"/>
          <w:sz w:val="28"/>
          <w:szCs w:val="28"/>
        </w:rPr>
        <w:t>1</w:t>
      </w:r>
      <w:r w:rsidRPr="00C93BF6">
        <w:rPr>
          <w:rFonts w:ascii="仿宋_GB2312" w:eastAsia="仿宋_GB2312" w:cs="仿宋_GB2312" w:hint="eastAsia"/>
          <w:sz w:val="28"/>
          <w:szCs w:val="28"/>
        </w:rPr>
        <w:t>）</w:t>
      </w:r>
      <w:r w:rsidRPr="00C93BF6">
        <w:rPr>
          <w:rFonts w:ascii="仿宋_GB2312" w:eastAsia="仿宋_GB2312" w:hAnsi="Times New Roman" w:cs="Times New Roman"/>
          <w:sz w:val="28"/>
          <w:szCs w:val="28"/>
        </w:rPr>
        <w:pict w14:anchorId="6E926711">
          <v:shape id="图片 3" o:spid="_x0000_i1027" type="#_x0000_t75" style="width:31.8pt;height:15pt;mso-position-horizontal-relative:page;mso-position-vertical-relative:page">
            <v:imagedata r:id="rId10" o:title=""/>
          </v:shape>
        </w:pict>
      </w:r>
      <w:r w:rsidRPr="00C93BF6">
        <w:rPr>
          <w:rFonts w:ascii="仿宋_GB2312" w:eastAsia="仿宋_GB2312" w:cs="仿宋_GB2312" w:hint="eastAsia"/>
          <w:sz w:val="28"/>
          <w:szCs w:val="28"/>
        </w:rPr>
        <w:t>为货款对付模式下信用风险加权资产；</w:t>
      </w:r>
    </w:p>
    <w:p w14:paraId="41CE2083"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仿宋_GB2312" w:hint="eastAsia"/>
          <w:sz w:val="28"/>
          <w:szCs w:val="28"/>
        </w:rPr>
        <w:lastRenderedPageBreak/>
        <w:t>（</w:t>
      </w:r>
      <w:r w:rsidRPr="00C93BF6">
        <w:rPr>
          <w:rFonts w:ascii="仿宋_GB2312" w:eastAsia="仿宋_GB2312" w:cs="Calibri"/>
          <w:sz w:val="28"/>
          <w:szCs w:val="28"/>
        </w:rPr>
        <w:t>2</w:t>
      </w:r>
      <w:r w:rsidRPr="00C93BF6">
        <w:rPr>
          <w:rFonts w:ascii="仿宋_GB2312" w:eastAsia="仿宋_GB2312" w:cs="仿宋_GB2312" w:hint="eastAsia"/>
          <w:sz w:val="28"/>
          <w:szCs w:val="28"/>
        </w:rPr>
        <w:t>）</w:t>
      </w:r>
      <w:r w:rsidRPr="00C93BF6">
        <w:rPr>
          <w:rFonts w:ascii="仿宋_GB2312" w:eastAsia="仿宋_GB2312" w:hAnsi="Times New Roman" w:cs="Times New Roman"/>
          <w:sz w:val="28"/>
          <w:szCs w:val="28"/>
        </w:rPr>
        <w:pict w14:anchorId="0188F6C8">
          <v:shape id="图片 4" o:spid="_x0000_i1028" type="#_x0000_t75" style="width:12pt;height:12.6pt;mso-position-horizontal-relative:page;mso-position-vertical-relative:page">
            <v:imagedata r:id="rId11" o:title=""/>
          </v:shape>
        </w:pict>
      </w:r>
      <w:r w:rsidRPr="00C93BF6">
        <w:rPr>
          <w:rFonts w:ascii="仿宋_GB2312" w:eastAsia="仿宋_GB2312" w:cs="仿宋_GB2312" w:hint="eastAsia"/>
          <w:sz w:val="28"/>
          <w:szCs w:val="28"/>
        </w:rPr>
        <w:t>为货款对付模式下，因合约结算价格与当期市场价格差异而产生的风险暴露；</w:t>
      </w:r>
    </w:p>
    <w:p w14:paraId="1BC2253F"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仿宋_GB2312" w:hint="eastAsia"/>
          <w:sz w:val="28"/>
          <w:szCs w:val="28"/>
        </w:rPr>
        <w:t>（</w:t>
      </w:r>
      <w:r w:rsidRPr="00C93BF6">
        <w:rPr>
          <w:rFonts w:ascii="仿宋_GB2312" w:eastAsia="仿宋_GB2312" w:cs="Calibri"/>
          <w:sz w:val="28"/>
          <w:szCs w:val="28"/>
        </w:rPr>
        <w:t>3</w:t>
      </w:r>
      <w:r w:rsidRPr="00C93BF6">
        <w:rPr>
          <w:rFonts w:ascii="仿宋_GB2312" w:eastAsia="仿宋_GB2312" w:cs="仿宋_GB2312" w:hint="eastAsia"/>
          <w:sz w:val="28"/>
          <w:szCs w:val="28"/>
        </w:rPr>
        <w:t>）</w:t>
      </w:r>
      <w:r w:rsidRPr="00C93BF6">
        <w:rPr>
          <w:rFonts w:ascii="仿宋_GB2312" w:eastAsia="仿宋_GB2312" w:cs="Calibri"/>
          <w:i/>
          <w:iCs/>
          <w:sz w:val="28"/>
          <w:szCs w:val="28"/>
        </w:rPr>
        <w:t>R</w:t>
      </w:r>
      <w:r w:rsidRPr="00C93BF6">
        <w:rPr>
          <w:rFonts w:ascii="仿宋_GB2312" w:eastAsia="仿宋_GB2312" w:cs="仿宋_GB2312" w:hint="eastAsia"/>
          <w:sz w:val="28"/>
          <w:szCs w:val="28"/>
        </w:rPr>
        <w:t>为与延迟交易时间相关的资本计提比例，具体见表</w:t>
      </w:r>
      <w:r w:rsidRPr="00C93BF6">
        <w:rPr>
          <w:rFonts w:ascii="仿宋_GB2312" w:eastAsia="仿宋_GB2312" w:cs="Calibri"/>
          <w:sz w:val="28"/>
          <w:szCs w:val="28"/>
        </w:rPr>
        <w:t>3</w:t>
      </w:r>
      <w:r w:rsidRPr="00C93BF6">
        <w:rPr>
          <w:rFonts w:ascii="仿宋_GB2312" w:eastAsia="仿宋_GB2312" w:cs="仿宋_GB2312" w:hint="eastAsia"/>
          <w:sz w:val="28"/>
          <w:szCs w:val="28"/>
        </w:rPr>
        <w:t>。</w:t>
      </w:r>
    </w:p>
    <w:p w14:paraId="021BABB2" w14:textId="77777777" w:rsidR="000D60CF" w:rsidRPr="00C93BF6" w:rsidRDefault="000D60CF" w:rsidP="00C93BF6">
      <w:pPr>
        <w:spacing w:before="50" w:line="360" w:lineRule="auto"/>
        <w:ind w:firstLineChars="200" w:firstLine="561"/>
        <w:jc w:val="center"/>
        <w:rPr>
          <w:rFonts w:ascii="仿宋_GB2312" w:eastAsia="仿宋_GB2312" w:hAnsi="宋体" w:cs="??_GB2312"/>
          <w:b/>
          <w:bCs/>
          <w:sz w:val="28"/>
          <w:szCs w:val="28"/>
        </w:rPr>
      </w:pPr>
      <w:r w:rsidRPr="00C93BF6">
        <w:rPr>
          <w:rFonts w:ascii="仿宋_GB2312" w:eastAsia="仿宋_GB2312" w:hAnsi="宋体" w:cs="??_GB2312" w:hint="eastAsia"/>
          <w:b/>
          <w:bCs/>
          <w:sz w:val="28"/>
          <w:szCs w:val="28"/>
        </w:rPr>
        <w:t>表</w:t>
      </w:r>
      <w:r w:rsidRPr="00C93BF6">
        <w:rPr>
          <w:rFonts w:ascii="仿宋_GB2312" w:eastAsia="仿宋_GB2312" w:hAnsi="宋体" w:cs="??_GB2312"/>
          <w:b/>
          <w:bCs/>
          <w:sz w:val="28"/>
          <w:szCs w:val="28"/>
        </w:rPr>
        <w:t xml:space="preserve">3 </w:t>
      </w:r>
      <w:r w:rsidRPr="00C93BF6">
        <w:rPr>
          <w:rFonts w:ascii="仿宋_GB2312" w:eastAsia="仿宋_GB2312" w:hAnsi="宋体" w:cs="??_GB2312" w:hint="eastAsia"/>
          <w:b/>
          <w:bCs/>
          <w:sz w:val="28"/>
          <w:szCs w:val="28"/>
        </w:rPr>
        <w:t>货款对付模式下交易对手信用风险资本计提比例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0"/>
        <w:gridCol w:w="2520"/>
      </w:tblGrid>
      <w:tr w:rsidR="000D60CF" w:rsidRPr="00C93BF6" w14:paraId="3EBED6F5" w14:textId="77777777">
        <w:trPr>
          <w:trHeight w:val="388"/>
          <w:jc w:val="center"/>
        </w:trPr>
        <w:tc>
          <w:tcPr>
            <w:tcW w:w="4500" w:type="dxa"/>
            <w:vAlign w:val="center"/>
          </w:tcPr>
          <w:p w14:paraId="7A967BEA" w14:textId="77777777" w:rsidR="000D60CF" w:rsidRPr="00C93BF6" w:rsidRDefault="000D60CF" w:rsidP="00C93BF6">
            <w:pPr>
              <w:pStyle w:val="TableColumnHeading"/>
              <w:spacing w:before="50" w:line="360" w:lineRule="auto"/>
              <w:ind w:firstLineChars="200" w:firstLine="561"/>
              <w:jc w:val="center"/>
              <w:rPr>
                <w:rFonts w:ascii="仿宋_GB2312" w:eastAsia="仿宋_GB2312" w:hAnsi="宋体" w:cs="仿宋_GB2312"/>
                <w:b/>
                <w:bCs/>
                <w:kern w:val="2"/>
                <w:sz w:val="28"/>
                <w:szCs w:val="28"/>
              </w:rPr>
            </w:pPr>
            <w:r w:rsidRPr="00C93BF6">
              <w:rPr>
                <w:rFonts w:ascii="仿宋_GB2312" w:eastAsia="仿宋_GB2312" w:hAnsi="宋体" w:cs="仿宋_GB2312" w:hint="eastAsia"/>
                <w:b/>
                <w:bCs/>
                <w:kern w:val="2"/>
                <w:sz w:val="28"/>
                <w:szCs w:val="28"/>
              </w:rPr>
              <w:t>自合约结算日起延迟交易</w:t>
            </w:r>
          </w:p>
          <w:p w14:paraId="7A1CBF4F" w14:textId="77777777" w:rsidR="000D60CF" w:rsidRPr="00C93BF6" w:rsidRDefault="000D60CF" w:rsidP="00C93BF6">
            <w:pPr>
              <w:pStyle w:val="TableColumnHeading"/>
              <w:spacing w:before="50" w:line="360" w:lineRule="auto"/>
              <w:ind w:firstLineChars="200" w:firstLine="561"/>
              <w:jc w:val="center"/>
              <w:rPr>
                <w:rFonts w:ascii="仿宋_GB2312" w:eastAsia="仿宋_GB2312" w:hAnsi="宋体" w:cs="仿宋_GB2312"/>
                <w:b/>
                <w:bCs/>
                <w:kern w:val="2"/>
                <w:sz w:val="28"/>
                <w:szCs w:val="28"/>
              </w:rPr>
            </w:pPr>
            <w:r w:rsidRPr="00C93BF6">
              <w:rPr>
                <w:rFonts w:ascii="仿宋_GB2312" w:eastAsia="仿宋_GB2312" w:hAnsi="宋体" w:cs="仿宋_GB2312" w:hint="eastAsia"/>
                <w:b/>
                <w:bCs/>
                <w:kern w:val="2"/>
                <w:sz w:val="28"/>
                <w:szCs w:val="28"/>
              </w:rPr>
              <w:t>的交易日数</w:t>
            </w:r>
          </w:p>
        </w:tc>
        <w:tc>
          <w:tcPr>
            <w:tcW w:w="2520" w:type="dxa"/>
            <w:vAlign w:val="center"/>
          </w:tcPr>
          <w:p w14:paraId="3BE441D8" w14:textId="77777777" w:rsidR="000D60CF" w:rsidRPr="00C93BF6" w:rsidRDefault="000D60CF" w:rsidP="00C93BF6">
            <w:pPr>
              <w:pStyle w:val="TableColumnHeading"/>
              <w:spacing w:before="50" w:line="360" w:lineRule="auto"/>
              <w:ind w:firstLineChars="200" w:firstLine="561"/>
              <w:jc w:val="center"/>
              <w:rPr>
                <w:rFonts w:ascii="仿宋_GB2312" w:eastAsia="仿宋_GB2312" w:hAnsi="宋体" w:cs="仿宋_GB2312"/>
                <w:b/>
                <w:bCs/>
                <w:kern w:val="2"/>
                <w:sz w:val="28"/>
                <w:szCs w:val="28"/>
              </w:rPr>
            </w:pPr>
            <w:r w:rsidRPr="00C93BF6">
              <w:rPr>
                <w:rFonts w:ascii="仿宋_GB2312" w:eastAsia="仿宋_GB2312" w:hAnsi="宋体" w:cs="仿宋_GB2312" w:hint="eastAsia"/>
                <w:b/>
                <w:bCs/>
                <w:kern w:val="2"/>
                <w:sz w:val="28"/>
                <w:szCs w:val="28"/>
              </w:rPr>
              <w:t>资本计提比例</w:t>
            </w:r>
          </w:p>
        </w:tc>
      </w:tr>
      <w:tr w:rsidR="000D60CF" w:rsidRPr="00C93BF6" w14:paraId="7339029A" w14:textId="77777777">
        <w:trPr>
          <w:jc w:val="center"/>
        </w:trPr>
        <w:tc>
          <w:tcPr>
            <w:tcW w:w="4500" w:type="dxa"/>
            <w:vAlign w:val="center"/>
          </w:tcPr>
          <w:p w14:paraId="3A494687" w14:textId="77777777" w:rsidR="000D60CF" w:rsidRPr="00C93BF6" w:rsidRDefault="000D60CF" w:rsidP="00C93BF6">
            <w:pPr>
              <w:pStyle w:val="Default"/>
              <w:spacing w:before="50" w:line="360" w:lineRule="auto"/>
              <w:ind w:firstLineChars="200" w:firstLine="560"/>
              <w:jc w:val="both"/>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4</w:t>
            </w:r>
            <w:r w:rsidRPr="00C93BF6">
              <w:rPr>
                <w:rFonts w:ascii="仿宋_GB2312" w:eastAsia="仿宋_GB2312" w:hAnsi="宋体" w:cs="仿宋_GB2312" w:hint="eastAsia"/>
                <w:color w:val="auto"/>
                <w:kern w:val="2"/>
                <w:sz w:val="28"/>
                <w:szCs w:val="28"/>
              </w:rPr>
              <w:t>（含）个交易日以内</w:t>
            </w:r>
          </w:p>
        </w:tc>
        <w:tc>
          <w:tcPr>
            <w:tcW w:w="2520" w:type="dxa"/>
            <w:vAlign w:val="center"/>
          </w:tcPr>
          <w:p w14:paraId="2823747F" w14:textId="77777777" w:rsidR="000D60CF" w:rsidRPr="00C93BF6" w:rsidRDefault="000D60CF" w:rsidP="00C93BF6">
            <w:pPr>
              <w:pStyle w:val="Default"/>
              <w:spacing w:before="50" w:line="360" w:lineRule="auto"/>
              <w:ind w:firstLineChars="200" w:firstLine="560"/>
              <w:jc w:val="center"/>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0%</w:t>
            </w:r>
          </w:p>
        </w:tc>
      </w:tr>
      <w:tr w:rsidR="000D60CF" w:rsidRPr="00C93BF6" w14:paraId="339C704E" w14:textId="77777777">
        <w:trPr>
          <w:jc w:val="center"/>
        </w:trPr>
        <w:tc>
          <w:tcPr>
            <w:tcW w:w="4500" w:type="dxa"/>
            <w:vAlign w:val="center"/>
          </w:tcPr>
          <w:p w14:paraId="6D25BF4F" w14:textId="77777777" w:rsidR="000D60CF" w:rsidRPr="00C93BF6" w:rsidRDefault="000D60CF" w:rsidP="00C93BF6">
            <w:pPr>
              <w:pStyle w:val="Default"/>
              <w:spacing w:before="50" w:line="360" w:lineRule="auto"/>
              <w:ind w:firstLineChars="200" w:firstLine="560"/>
              <w:jc w:val="both"/>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5</w:t>
            </w:r>
            <w:r w:rsidRPr="00C93BF6">
              <w:rPr>
                <w:rFonts w:ascii="仿宋_GB2312" w:eastAsia="仿宋_GB2312" w:hAnsi="宋体" w:cs="仿宋_GB2312" w:hint="eastAsia"/>
                <w:color w:val="auto"/>
                <w:kern w:val="2"/>
                <w:sz w:val="28"/>
                <w:szCs w:val="28"/>
              </w:rPr>
              <w:t>至</w:t>
            </w:r>
            <w:r w:rsidRPr="00C93BF6">
              <w:rPr>
                <w:rFonts w:ascii="仿宋_GB2312" w:eastAsia="仿宋_GB2312" w:hAnsi="宋体" w:cs="仿宋_GB2312"/>
                <w:color w:val="auto"/>
                <w:kern w:val="2"/>
                <w:sz w:val="28"/>
                <w:szCs w:val="28"/>
              </w:rPr>
              <w:t>15</w:t>
            </w:r>
            <w:r w:rsidRPr="00C93BF6">
              <w:rPr>
                <w:rFonts w:ascii="仿宋_GB2312" w:eastAsia="仿宋_GB2312" w:hAnsi="宋体" w:cs="仿宋_GB2312" w:hint="eastAsia"/>
                <w:color w:val="auto"/>
                <w:kern w:val="2"/>
                <w:sz w:val="28"/>
                <w:szCs w:val="28"/>
              </w:rPr>
              <w:t>（含）个交易日之间</w:t>
            </w:r>
          </w:p>
        </w:tc>
        <w:tc>
          <w:tcPr>
            <w:tcW w:w="2520" w:type="dxa"/>
            <w:vAlign w:val="center"/>
          </w:tcPr>
          <w:p w14:paraId="5C293328" w14:textId="77777777" w:rsidR="000D60CF" w:rsidRPr="00C93BF6" w:rsidRDefault="000D60CF" w:rsidP="00C93BF6">
            <w:pPr>
              <w:pStyle w:val="Default"/>
              <w:spacing w:before="50" w:line="360" w:lineRule="auto"/>
              <w:ind w:firstLineChars="200" w:firstLine="560"/>
              <w:jc w:val="center"/>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8%</w:t>
            </w:r>
          </w:p>
        </w:tc>
      </w:tr>
      <w:tr w:rsidR="000D60CF" w:rsidRPr="00C93BF6" w14:paraId="7B691E47" w14:textId="77777777">
        <w:trPr>
          <w:jc w:val="center"/>
        </w:trPr>
        <w:tc>
          <w:tcPr>
            <w:tcW w:w="4500" w:type="dxa"/>
            <w:vAlign w:val="center"/>
          </w:tcPr>
          <w:p w14:paraId="138D33F5" w14:textId="77777777" w:rsidR="000D60CF" w:rsidRPr="00C93BF6" w:rsidRDefault="000D60CF" w:rsidP="00C93BF6">
            <w:pPr>
              <w:pStyle w:val="Default"/>
              <w:spacing w:before="50" w:line="360" w:lineRule="auto"/>
              <w:ind w:firstLineChars="200" w:firstLine="560"/>
              <w:jc w:val="both"/>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16</w:t>
            </w:r>
            <w:r w:rsidRPr="00C93BF6">
              <w:rPr>
                <w:rFonts w:ascii="仿宋_GB2312" w:eastAsia="仿宋_GB2312" w:hAnsi="宋体" w:cs="仿宋_GB2312" w:hint="eastAsia"/>
                <w:color w:val="auto"/>
                <w:kern w:val="2"/>
                <w:sz w:val="28"/>
                <w:szCs w:val="28"/>
              </w:rPr>
              <w:t>至</w:t>
            </w:r>
            <w:r w:rsidRPr="00C93BF6">
              <w:rPr>
                <w:rFonts w:ascii="仿宋_GB2312" w:eastAsia="仿宋_GB2312" w:hAnsi="宋体" w:cs="仿宋_GB2312"/>
                <w:color w:val="auto"/>
                <w:kern w:val="2"/>
                <w:sz w:val="28"/>
                <w:szCs w:val="28"/>
              </w:rPr>
              <w:t>30</w:t>
            </w:r>
            <w:r w:rsidRPr="00C93BF6">
              <w:rPr>
                <w:rFonts w:ascii="仿宋_GB2312" w:eastAsia="仿宋_GB2312" w:hAnsi="宋体" w:cs="仿宋_GB2312" w:hint="eastAsia"/>
                <w:color w:val="auto"/>
                <w:kern w:val="2"/>
                <w:sz w:val="28"/>
                <w:szCs w:val="28"/>
              </w:rPr>
              <w:t>（含）个交易日之间</w:t>
            </w:r>
          </w:p>
        </w:tc>
        <w:tc>
          <w:tcPr>
            <w:tcW w:w="2520" w:type="dxa"/>
            <w:vAlign w:val="center"/>
          </w:tcPr>
          <w:p w14:paraId="2B0F0CC1" w14:textId="77777777" w:rsidR="000D60CF" w:rsidRPr="00C93BF6" w:rsidRDefault="000D60CF" w:rsidP="00C93BF6">
            <w:pPr>
              <w:pStyle w:val="Default"/>
              <w:spacing w:before="50" w:line="360" w:lineRule="auto"/>
              <w:ind w:firstLineChars="200" w:firstLine="560"/>
              <w:jc w:val="center"/>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50%</w:t>
            </w:r>
          </w:p>
        </w:tc>
      </w:tr>
      <w:tr w:rsidR="000D60CF" w:rsidRPr="00C93BF6" w14:paraId="2C450B4D" w14:textId="77777777">
        <w:trPr>
          <w:jc w:val="center"/>
        </w:trPr>
        <w:tc>
          <w:tcPr>
            <w:tcW w:w="4500" w:type="dxa"/>
            <w:vAlign w:val="center"/>
          </w:tcPr>
          <w:p w14:paraId="0ABB85A7" w14:textId="77777777" w:rsidR="000D60CF" w:rsidRPr="00C93BF6" w:rsidRDefault="000D60CF" w:rsidP="00C93BF6">
            <w:pPr>
              <w:pStyle w:val="Default"/>
              <w:spacing w:before="50" w:line="360" w:lineRule="auto"/>
              <w:ind w:firstLineChars="200" w:firstLine="560"/>
              <w:jc w:val="both"/>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31</w:t>
            </w:r>
            <w:r w:rsidRPr="00C93BF6">
              <w:rPr>
                <w:rFonts w:ascii="仿宋_GB2312" w:eastAsia="仿宋_GB2312" w:hAnsi="宋体" w:cs="仿宋_GB2312" w:hint="eastAsia"/>
                <w:color w:val="auto"/>
                <w:kern w:val="2"/>
                <w:sz w:val="28"/>
                <w:szCs w:val="28"/>
              </w:rPr>
              <w:t>至</w:t>
            </w:r>
            <w:r w:rsidRPr="00C93BF6">
              <w:rPr>
                <w:rFonts w:ascii="仿宋_GB2312" w:eastAsia="仿宋_GB2312" w:hAnsi="宋体" w:cs="仿宋_GB2312"/>
                <w:color w:val="auto"/>
                <w:kern w:val="2"/>
                <w:sz w:val="28"/>
                <w:szCs w:val="28"/>
              </w:rPr>
              <w:t>45</w:t>
            </w:r>
            <w:r w:rsidRPr="00C93BF6">
              <w:rPr>
                <w:rFonts w:ascii="仿宋_GB2312" w:eastAsia="仿宋_GB2312" w:hAnsi="宋体" w:cs="仿宋_GB2312" w:hint="eastAsia"/>
                <w:color w:val="auto"/>
                <w:kern w:val="2"/>
                <w:sz w:val="28"/>
                <w:szCs w:val="28"/>
              </w:rPr>
              <w:t>（含）个交易日之间</w:t>
            </w:r>
          </w:p>
        </w:tc>
        <w:tc>
          <w:tcPr>
            <w:tcW w:w="2520" w:type="dxa"/>
            <w:vAlign w:val="center"/>
          </w:tcPr>
          <w:p w14:paraId="570314E2" w14:textId="77777777" w:rsidR="000D60CF" w:rsidRPr="00C93BF6" w:rsidRDefault="000D60CF" w:rsidP="00C93BF6">
            <w:pPr>
              <w:pStyle w:val="Default"/>
              <w:spacing w:before="50" w:line="360" w:lineRule="auto"/>
              <w:ind w:firstLineChars="200" w:firstLine="560"/>
              <w:jc w:val="center"/>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75%</w:t>
            </w:r>
          </w:p>
        </w:tc>
      </w:tr>
      <w:tr w:rsidR="000D60CF" w:rsidRPr="00C93BF6" w14:paraId="3019A907" w14:textId="77777777">
        <w:trPr>
          <w:jc w:val="center"/>
        </w:trPr>
        <w:tc>
          <w:tcPr>
            <w:tcW w:w="4500" w:type="dxa"/>
            <w:vAlign w:val="center"/>
          </w:tcPr>
          <w:p w14:paraId="6FCF63B5" w14:textId="77777777" w:rsidR="000D60CF" w:rsidRPr="00C93BF6" w:rsidRDefault="000D60CF" w:rsidP="00C93BF6">
            <w:pPr>
              <w:pStyle w:val="Default"/>
              <w:spacing w:before="50" w:line="360" w:lineRule="auto"/>
              <w:ind w:firstLineChars="200" w:firstLine="560"/>
              <w:jc w:val="both"/>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46</w:t>
            </w:r>
            <w:r w:rsidRPr="00C93BF6">
              <w:rPr>
                <w:rFonts w:ascii="仿宋_GB2312" w:eastAsia="仿宋_GB2312" w:hAnsi="宋体" w:cs="仿宋_GB2312" w:hint="eastAsia"/>
                <w:color w:val="auto"/>
                <w:kern w:val="2"/>
                <w:sz w:val="28"/>
                <w:szCs w:val="28"/>
              </w:rPr>
              <w:t>（含）个交易日以上</w:t>
            </w:r>
          </w:p>
        </w:tc>
        <w:tc>
          <w:tcPr>
            <w:tcW w:w="2520" w:type="dxa"/>
            <w:vAlign w:val="center"/>
          </w:tcPr>
          <w:p w14:paraId="023115B0" w14:textId="77777777" w:rsidR="000D60CF" w:rsidRPr="00C93BF6" w:rsidRDefault="000D60CF" w:rsidP="00C93BF6">
            <w:pPr>
              <w:pStyle w:val="Default"/>
              <w:spacing w:before="50" w:line="360" w:lineRule="auto"/>
              <w:ind w:firstLineChars="200" w:firstLine="560"/>
              <w:jc w:val="center"/>
              <w:rPr>
                <w:rFonts w:ascii="仿宋_GB2312" w:eastAsia="仿宋_GB2312" w:hAnsi="宋体" w:cs="仿宋_GB2312"/>
                <w:color w:val="auto"/>
                <w:kern w:val="2"/>
                <w:sz w:val="28"/>
                <w:szCs w:val="28"/>
              </w:rPr>
            </w:pPr>
            <w:r w:rsidRPr="00C93BF6">
              <w:rPr>
                <w:rFonts w:ascii="仿宋_GB2312" w:eastAsia="仿宋_GB2312" w:hAnsi="宋体" w:cs="仿宋_GB2312"/>
                <w:color w:val="auto"/>
                <w:kern w:val="2"/>
                <w:sz w:val="28"/>
                <w:szCs w:val="28"/>
              </w:rPr>
              <w:t>100%</w:t>
            </w:r>
          </w:p>
        </w:tc>
      </w:tr>
    </w:tbl>
    <w:p w14:paraId="63762BD6" w14:textId="77777777" w:rsidR="000D60CF" w:rsidRPr="00C93BF6" w:rsidRDefault="000D60CF" w:rsidP="00C93BF6">
      <w:pPr>
        <w:spacing w:before="50" w:line="360" w:lineRule="auto"/>
        <w:ind w:firstLineChars="200" w:firstLine="561"/>
        <w:rPr>
          <w:rFonts w:ascii="仿宋_GB2312" w:eastAsia="仿宋_GB2312" w:cs="??_GB2312"/>
          <w:b/>
          <w:bCs/>
          <w:sz w:val="28"/>
          <w:szCs w:val="28"/>
        </w:rPr>
      </w:pPr>
      <w:r w:rsidRPr="00C93BF6">
        <w:rPr>
          <w:rFonts w:ascii="仿宋_GB2312" w:eastAsia="仿宋_GB2312" w:cs="??_GB2312" w:hint="eastAsia"/>
          <w:b/>
          <w:bCs/>
          <w:sz w:val="28"/>
          <w:szCs w:val="28"/>
        </w:rPr>
        <w:t>（二）非货款对付模式下信用风险加权资产计算</w:t>
      </w:r>
    </w:p>
    <w:p w14:paraId="477CADB9" w14:textId="77777777" w:rsidR="000D60CF" w:rsidRPr="00C93BF6" w:rsidRDefault="000D60CF" w:rsidP="00C93BF6">
      <w:pPr>
        <w:spacing w:before="50" w:line="360" w:lineRule="auto"/>
        <w:ind w:firstLineChars="200" w:firstLine="560"/>
        <w:rPr>
          <w:rFonts w:ascii="仿宋_GB2312" w:eastAsia="仿宋_GB2312" w:cs="Calibri"/>
          <w:sz w:val="28"/>
          <w:szCs w:val="28"/>
        </w:rPr>
      </w:pPr>
      <w:r w:rsidRPr="00C93BF6">
        <w:rPr>
          <w:rFonts w:ascii="仿宋_GB2312" w:eastAsia="仿宋_GB2312" w:cs="仿宋_GB2312" w:hint="eastAsia"/>
          <w:sz w:val="28"/>
          <w:szCs w:val="28"/>
        </w:rPr>
        <w:t>非货款对付模式下，因商业银行已执行支付，而交易对手未在约定日期支付而产生的风险暴露：自商业银行执行支付之日起，交易对手未支付部分视同对该交易对手的债权进行处理；自交易对手应履行支付义务之日起，</w:t>
      </w:r>
      <w:r w:rsidRPr="00C93BF6">
        <w:rPr>
          <w:rFonts w:ascii="仿宋_GB2312" w:eastAsia="仿宋_GB2312" w:cs="Calibri"/>
          <w:sz w:val="28"/>
          <w:szCs w:val="28"/>
        </w:rPr>
        <w:t>5</w:t>
      </w:r>
      <w:r w:rsidRPr="00C93BF6">
        <w:rPr>
          <w:rFonts w:ascii="仿宋_GB2312" w:eastAsia="仿宋_GB2312" w:cs="仿宋_GB2312" w:hint="eastAsia"/>
          <w:sz w:val="28"/>
          <w:szCs w:val="28"/>
        </w:rPr>
        <w:t>个交易日后，交易对手仍未支付部分的风险权重为</w:t>
      </w:r>
      <w:r w:rsidRPr="00C93BF6">
        <w:rPr>
          <w:rFonts w:ascii="仿宋_GB2312" w:eastAsia="仿宋_GB2312" w:cs="Calibri"/>
          <w:sz w:val="28"/>
          <w:szCs w:val="28"/>
        </w:rPr>
        <w:t>1250%</w:t>
      </w:r>
      <w:r w:rsidRPr="00C93BF6">
        <w:rPr>
          <w:rFonts w:ascii="仿宋_GB2312" w:eastAsia="仿宋_GB2312" w:cs="仿宋_GB2312" w:hint="eastAsia"/>
          <w:sz w:val="28"/>
          <w:szCs w:val="28"/>
        </w:rPr>
        <w:t>。</w:t>
      </w:r>
    </w:p>
    <w:p w14:paraId="15216B26" w14:textId="77777777" w:rsidR="000D60CF" w:rsidRPr="00C93BF6" w:rsidRDefault="000D60CF" w:rsidP="00C93BF6">
      <w:pPr>
        <w:spacing w:before="50" w:line="360" w:lineRule="auto"/>
        <w:ind w:firstLineChars="200" w:firstLine="561"/>
        <w:rPr>
          <w:rFonts w:ascii="仿宋_GB2312" w:eastAsia="仿宋_GB2312" w:cs="黑体"/>
          <w:b/>
          <w:bCs/>
          <w:sz w:val="28"/>
          <w:szCs w:val="28"/>
        </w:rPr>
      </w:pPr>
      <w:r w:rsidRPr="00C93BF6">
        <w:rPr>
          <w:rFonts w:ascii="仿宋_GB2312" w:eastAsia="仿宋_GB2312" w:cs="黑体" w:hint="eastAsia"/>
          <w:b/>
          <w:bCs/>
          <w:sz w:val="28"/>
          <w:szCs w:val="28"/>
        </w:rPr>
        <w:t>四、合格信用风险缓释工具</w:t>
      </w:r>
    </w:p>
    <w:p w14:paraId="3E185B95" w14:textId="77777777" w:rsidR="000D60CF" w:rsidRPr="00C93BF6" w:rsidRDefault="000D60CF" w:rsidP="00C93BF6">
      <w:pPr>
        <w:spacing w:before="50" w:line="360" w:lineRule="auto"/>
        <w:ind w:firstLineChars="200" w:firstLine="561"/>
        <w:jc w:val="center"/>
        <w:rPr>
          <w:rFonts w:ascii="仿宋_GB2312" w:eastAsia="仿宋_GB2312" w:cs="??_GB2312"/>
          <w:b/>
          <w:bCs/>
          <w:sz w:val="28"/>
          <w:szCs w:val="28"/>
        </w:rPr>
      </w:pPr>
      <w:r w:rsidRPr="00C93BF6">
        <w:rPr>
          <w:rFonts w:ascii="仿宋_GB2312" w:eastAsia="仿宋_GB2312" w:cs="??_GB2312" w:hint="eastAsia"/>
          <w:b/>
          <w:bCs/>
          <w:sz w:val="28"/>
          <w:szCs w:val="28"/>
        </w:rPr>
        <w:t>表</w:t>
      </w:r>
      <w:r w:rsidRPr="00C93BF6">
        <w:rPr>
          <w:rFonts w:ascii="仿宋_GB2312" w:eastAsia="仿宋_GB2312" w:cs="??_GB2312"/>
          <w:b/>
          <w:bCs/>
          <w:sz w:val="28"/>
          <w:szCs w:val="28"/>
        </w:rPr>
        <w:t xml:space="preserve">4 </w:t>
      </w:r>
      <w:r w:rsidRPr="00C93BF6">
        <w:rPr>
          <w:rFonts w:ascii="仿宋_GB2312" w:eastAsia="仿宋_GB2312" w:cs="??_GB2312" w:hint="eastAsia"/>
          <w:b/>
          <w:bCs/>
          <w:sz w:val="28"/>
          <w:szCs w:val="28"/>
        </w:rPr>
        <w:t>合格信用风险缓释工具的种类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7"/>
        <w:gridCol w:w="7180"/>
      </w:tblGrid>
      <w:tr w:rsidR="000D60CF" w:rsidRPr="00C93BF6" w14:paraId="2B0C4011" w14:textId="77777777" w:rsidTr="00FB2A2D">
        <w:trPr>
          <w:trHeight w:val="427"/>
          <w:jc w:val="center"/>
        </w:trPr>
        <w:tc>
          <w:tcPr>
            <w:tcW w:w="1667" w:type="dxa"/>
            <w:vAlign w:val="center"/>
          </w:tcPr>
          <w:p w14:paraId="477E479C" w14:textId="77777777" w:rsidR="000D60CF" w:rsidRPr="00C93BF6" w:rsidRDefault="000D60CF" w:rsidP="00253AF0">
            <w:pPr>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信用风险缓释工具</w:t>
            </w:r>
          </w:p>
        </w:tc>
        <w:tc>
          <w:tcPr>
            <w:tcW w:w="7180" w:type="dxa"/>
            <w:vAlign w:val="center"/>
          </w:tcPr>
          <w:p w14:paraId="528DF567" w14:textId="77777777" w:rsidR="000D60CF" w:rsidRPr="00C93BF6" w:rsidRDefault="000D60CF" w:rsidP="00C93BF6">
            <w:pPr>
              <w:spacing w:before="50" w:line="360" w:lineRule="auto"/>
              <w:ind w:firstLineChars="200" w:firstLine="560"/>
              <w:jc w:val="center"/>
              <w:rPr>
                <w:rFonts w:ascii="仿宋_GB2312" w:eastAsia="仿宋_GB2312" w:hAnsi="宋体" w:cs="仿宋_GB2312"/>
                <w:sz w:val="28"/>
                <w:szCs w:val="28"/>
              </w:rPr>
            </w:pPr>
            <w:r w:rsidRPr="00C93BF6">
              <w:rPr>
                <w:rFonts w:ascii="仿宋_GB2312" w:eastAsia="仿宋_GB2312" w:hAnsi="宋体" w:cs="仿宋_GB2312" w:hint="eastAsia"/>
                <w:sz w:val="28"/>
                <w:szCs w:val="28"/>
              </w:rPr>
              <w:t>种类</w:t>
            </w:r>
          </w:p>
        </w:tc>
      </w:tr>
      <w:tr w:rsidR="000D60CF" w:rsidRPr="00C93BF6" w14:paraId="71492D42" w14:textId="77777777" w:rsidTr="00FB2A2D">
        <w:trPr>
          <w:cantSplit/>
          <w:trHeight w:val="5585"/>
          <w:jc w:val="center"/>
        </w:trPr>
        <w:tc>
          <w:tcPr>
            <w:tcW w:w="1667" w:type="dxa"/>
          </w:tcPr>
          <w:p w14:paraId="1002A93D"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hint="eastAsia"/>
                <w:sz w:val="28"/>
                <w:szCs w:val="28"/>
              </w:rPr>
              <w:lastRenderedPageBreak/>
              <w:t>质物</w:t>
            </w:r>
          </w:p>
        </w:tc>
        <w:tc>
          <w:tcPr>
            <w:tcW w:w="7180" w:type="dxa"/>
          </w:tcPr>
          <w:p w14:paraId="51235390"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（一）以特户、封金或保证金等形式特定化后的现金；</w:t>
            </w:r>
          </w:p>
          <w:p w14:paraId="5349A350"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（二）黄金；</w:t>
            </w:r>
          </w:p>
          <w:p w14:paraId="4B0B1266"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（三）银行存单；</w:t>
            </w:r>
          </w:p>
          <w:p w14:paraId="02CDA0D6"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（四）我国财政部发行的国债；</w:t>
            </w:r>
          </w:p>
          <w:p w14:paraId="259FD3B0"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（五）中国人民银行发行的票据；</w:t>
            </w:r>
          </w:p>
          <w:p w14:paraId="7F88C547"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（六）我国政策性银行、公共部门实体、商业银行发行的债券、票据和承兑的汇票；</w:t>
            </w:r>
          </w:p>
          <w:p w14:paraId="3D052A6E"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（七）金融资产管理公司为收购国有银行而定向发行的债券；</w:t>
            </w:r>
          </w:p>
          <w:p w14:paraId="0A399EB2"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（八）评级为</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）以上国家或地区政府和中央银行发行的债券；</w:t>
            </w:r>
          </w:p>
          <w:p w14:paraId="5F89D93F"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（九）注册地所在国家或地区的评级在</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）以上的境外商业银行和公共部门实体发行的债券、票据和承兑的汇票；</w:t>
            </w:r>
          </w:p>
          <w:p w14:paraId="466023C6" w14:textId="77777777" w:rsidR="000D60CF" w:rsidRPr="00C93BF6" w:rsidRDefault="000D60CF" w:rsidP="00253AF0">
            <w:pPr>
              <w:widowControl/>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（十）多边开发银行、国际清算银行和国际货币基金组织发行的债券。</w:t>
            </w:r>
          </w:p>
        </w:tc>
      </w:tr>
      <w:tr w:rsidR="000D60CF" w:rsidRPr="00C93BF6" w14:paraId="4C8F5EC0" w14:textId="77777777" w:rsidTr="00FB2A2D">
        <w:trPr>
          <w:jc w:val="center"/>
        </w:trPr>
        <w:tc>
          <w:tcPr>
            <w:tcW w:w="1667" w:type="dxa"/>
          </w:tcPr>
          <w:p w14:paraId="1F5A1E03" w14:textId="77777777" w:rsidR="000D60CF" w:rsidRPr="00C93BF6" w:rsidRDefault="000D60CF" w:rsidP="00C93BF6">
            <w:pPr>
              <w:spacing w:before="50" w:line="360" w:lineRule="auto"/>
              <w:ind w:firstLineChars="200" w:firstLine="560"/>
              <w:rPr>
                <w:rFonts w:ascii="仿宋_GB2312" w:eastAsia="仿宋_GB2312" w:hAnsi="宋体" w:cs="仿宋_GB2312"/>
                <w:sz w:val="28"/>
                <w:szCs w:val="28"/>
              </w:rPr>
            </w:pPr>
            <w:r w:rsidRPr="00C93BF6">
              <w:rPr>
                <w:rFonts w:ascii="仿宋_GB2312" w:eastAsia="仿宋_GB2312" w:hAnsi="宋体" w:cs="仿宋_GB2312" w:hint="eastAsia"/>
                <w:sz w:val="28"/>
                <w:szCs w:val="28"/>
              </w:rPr>
              <w:t>保证</w:t>
            </w:r>
          </w:p>
        </w:tc>
        <w:tc>
          <w:tcPr>
            <w:tcW w:w="7180" w:type="dxa"/>
          </w:tcPr>
          <w:p w14:paraId="5F3E1541" w14:textId="77777777" w:rsidR="000D60CF" w:rsidRPr="00C93BF6" w:rsidRDefault="000D60CF" w:rsidP="00253AF0">
            <w:pPr>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（一）我国中央政府、中国人民银行、政策性银行、公共部门实体和商业银行；</w:t>
            </w:r>
          </w:p>
          <w:p w14:paraId="6BC25958" w14:textId="77777777" w:rsidR="000D60CF" w:rsidRPr="00C93BF6" w:rsidRDefault="000D60CF" w:rsidP="00253AF0">
            <w:pPr>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（二）评级为</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BBB-</w:t>
            </w:r>
            <w:r w:rsidRPr="00C93BF6">
              <w:rPr>
                <w:rFonts w:ascii="仿宋_GB2312" w:eastAsia="仿宋_GB2312" w:hAnsi="宋体" w:cs="仿宋_GB2312" w:hint="eastAsia"/>
                <w:sz w:val="28"/>
                <w:szCs w:val="28"/>
              </w:rPr>
              <w:t>）以上国家或地区政府和中央银行；</w:t>
            </w:r>
          </w:p>
          <w:p w14:paraId="19EA730B" w14:textId="77777777" w:rsidR="000D60CF" w:rsidRPr="00C93BF6" w:rsidRDefault="000D60CF" w:rsidP="00253AF0">
            <w:pPr>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（三）注册地所在国家或地区的评级在</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（含</w:t>
            </w:r>
            <w:r w:rsidRPr="00C93BF6">
              <w:rPr>
                <w:rFonts w:ascii="仿宋_GB2312" w:eastAsia="仿宋_GB2312" w:hAnsi="宋体" w:cs="仿宋_GB2312"/>
                <w:sz w:val="28"/>
                <w:szCs w:val="28"/>
              </w:rPr>
              <w:t>A-</w:t>
            </w:r>
            <w:r w:rsidRPr="00C93BF6">
              <w:rPr>
                <w:rFonts w:ascii="仿宋_GB2312" w:eastAsia="仿宋_GB2312" w:hAnsi="宋体" w:cs="仿宋_GB2312" w:hint="eastAsia"/>
                <w:sz w:val="28"/>
                <w:szCs w:val="28"/>
              </w:rPr>
              <w:t>）以上的境外商业银行和公共部门实体；</w:t>
            </w:r>
          </w:p>
          <w:p w14:paraId="524C1A07" w14:textId="77777777" w:rsidR="000D60CF" w:rsidRPr="00C93BF6" w:rsidRDefault="000D60CF" w:rsidP="00253AF0">
            <w:pPr>
              <w:spacing w:before="50" w:line="360" w:lineRule="auto"/>
              <w:rPr>
                <w:rFonts w:ascii="仿宋_GB2312" w:eastAsia="仿宋_GB2312" w:hAnsi="宋体" w:cs="仿宋_GB2312"/>
                <w:sz w:val="28"/>
                <w:szCs w:val="28"/>
              </w:rPr>
            </w:pPr>
            <w:r w:rsidRPr="00C93BF6">
              <w:rPr>
                <w:rFonts w:ascii="仿宋_GB2312" w:eastAsia="仿宋_GB2312" w:hAnsi="宋体" w:cs="仿宋_GB2312" w:hint="eastAsia"/>
                <w:sz w:val="28"/>
                <w:szCs w:val="28"/>
              </w:rPr>
              <w:t>（四）多边开发银行、国际清算银行和国际货币基金组织。</w:t>
            </w:r>
          </w:p>
        </w:tc>
      </w:tr>
    </w:tbl>
    <w:p w14:paraId="3332CE48" w14:textId="77777777" w:rsidR="000D60CF" w:rsidRPr="00C93BF6" w:rsidRDefault="000D60CF" w:rsidP="00253AF0">
      <w:pPr>
        <w:spacing w:before="50" w:line="360" w:lineRule="auto"/>
        <w:rPr>
          <w:rFonts w:ascii="仿宋_GB2312" w:eastAsia="仿宋_GB2312" w:cs="Calibri"/>
          <w:sz w:val="28"/>
          <w:szCs w:val="28"/>
        </w:rPr>
      </w:pPr>
    </w:p>
    <w:sectPr w:rsidR="000D60CF" w:rsidRPr="00C93BF6">
      <w:pgSz w:w="11904" w:h="17340"/>
      <w:pgMar w:top="2130" w:right="1220" w:bottom="1168" w:left="14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BB70" w14:textId="77777777" w:rsidR="00A34239" w:rsidRDefault="00A3423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separator/>
      </w:r>
    </w:p>
  </w:endnote>
  <w:endnote w:type="continuationSeparator" w:id="0">
    <w:p w14:paraId="1DA0DBDC" w14:textId="77777777" w:rsidR="00A34239" w:rsidRDefault="00A3423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宋体">
    <w:altName w:val="宋体"/>
    <w:panose1 w:val="02010600030101010101"/>
    <w:charset w:val="86"/>
    <w:family w:val="auto"/>
    <w:pitch w:val="variable"/>
    <w:sig w:usb0="00000203" w:usb1="288F0000" w:usb2="00000016" w:usb3="00000000" w:csb0="00040001" w:csb1="00000000"/>
  </w:font>
  <w:font w:name="Calibri">
    <w:altName w:val="Calibri"/>
    <w:panose1 w:val="020F0502020204030204"/>
    <w:charset w:val="00"/>
    <w:family w:val="swiss"/>
    <w:pitch w:val="variable"/>
    <w:sig w:usb0="E4002EFF" w:usb1="C000247B" w:usb2="00000009" w:usb3="00000000" w:csb0="000001FF" w:csb1="00000000"/>
  </w:font>
  <w:font w:name="LJDJON+DFSong">
    <w:altName w:val="黑体"/>
    <w:panose1 w:val="00000000000000000000"/>
    <w:charset w:val="86"/>
    <w:family w:val="modern"/>
    <w:notTrueType/>
    <w:pitch w:val="default"/>
    <w:sig w:usb0="00000001" w:usb1="080E0000" w:usb2="00000010" w:usb3="00000000" w:csb0="00040000" w:csb1="00000000"/>
  </w:font>
  <w:font w:name="Arial">
    <w:altName w:val="Arial"/>
    <w:panose1 w:val="020B0604020202020204"/>
    <w:charset w:val="00"/>
    <w:family w:val="swiss"/>
    <w:pitch w:val="variable"/>
    <w:sig w:usb0="E0002EFF" w:usb1="C000785B" w:usb2="00000009" w:usb3="00000000" w:csb0="000001FF" w:csb1="00000000"/>
  </w:font>
  <w:font w:name="仿宋_GB2312">
    <w:altName w:val="仿宋"/>
    <w:panose1 w:val="00000000000000000000"/>
    <w:charset w:val="86"/>
    <w:family w:val="modern"/>
    <w:notTrueType/>
    <w:pitch w:val="fixed"/>
    <w:sig w:usb0="00000001" w:usb1="080E0000" w:usb2="00000010" w:usb3="00000000" w:csb0="00040000" w:csb1="00000000"/>
  </w:font>
  <w:font w:name="??_GB2312">
    <w:altName w:val="??"/>
    <w:panose1 w:val="00000000000000000000"/>
    <w:charset w:val="00"/>
    <w:family w:val="roman"/>
    <w:notTrueType/>
    <w:pitch w:val="default"/>
    <w:sig w:usb0="00000003" w:usb1="00000000" w:usb2="00000000" w:usb3="00000000" w:csb0="00000001" w:csb1="00000000"/>
  </w:font>
  <w:font w:name="黑体">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49A26" w14:textId="77777777" w:rsidR="00A34239" w:rsidRDefault="00A3423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separator/>
      </w:r>
    </w:p>
  </w:footnote>
  <w:footnote w:type="continuationSeparator" w:id="0">
    <w:p w14:paraId="5E0086B8" w14:textId="77777777" w:rsidR="00A34239" w:rsidRDefault="00A34239">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kern w:val="0"/>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FF"/>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FFFFFFFF"/>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FFFFFFFF"/>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FFFFFFFF"/>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FFFFFFFF"/>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FFFFFFFF"/>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FFFFFFFF"/>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FFFFFFFF"/>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FFFFFFFF"/>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FFFFFFF"/>
    <w:lvl w:ilvl="0">
      <w:start w:val="1"/>
      <w:numFmt w:val="bullet"/>
      <w:lvlText w:val=""/>
      <w:lvlJc w:val="left"/>
      <w:pPr>
        <w:tabs>
          <w:tab w:val="num" w:pos="360"/>
        </w:tabs>
        <w:ind w:left="360" w:hanging="360"/>
      </w:pPr>
      <w:rPr>
        <w:rFonts w:ascii="Wingdings" w:hAnsi="Wingdings" w:hint="default"/>
      </w:rPr>
    </w:lvl>
  </w:abstractNum>
  <w:num w:numId="1" w16cid:durableId="1441799594">
    <w:abstractNumId w:val="8"/>
  </w:num>
  <w:num w:numId="2" w16cid:durableId="1084490295">
    <w:abstractNumId w:val="3"/>
  </w:num>
  <w:num w:numId="3" w16cid:durableId="419984462">
    <w:abstractNumId w:val="2"/>
  </w:num>
  <w:num w:numId="4" w16cid:durableId="737094360">
    <w:abstractNumId w:val="1"/>
  </w:num>
  <w:num w:numId="5" w16cid:durableId="1318650729">
    <w:abstractNumId w:val="0"/>
  </w:num>
  <w:num w:numId="6" w16cid:durableId="69431170">
    <w:abstractNumId w:val="9"/>
  </w:num>
  <w:num w:numId="7" w16cid:durableId="457990013">
    <w:abstractNumId w:val="7"/>
  </w:num>
  <w:num w:numId="8" w16cid:durableId="200097961">
    <w:abstractNumId w:val="6"/>
  </w:num>
  <w:num w:numId="9" w16cid:durableId="1134179750">
    <w:abstractNumId w:val="5"/>
  </w:num>
  <w:num w:numId="10" w16cid:durableId="1561671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shapeLayoutLikeWW8/>
    <w:adjustLineHeightInTable/>
    <w:doNotUseHTMLParagraphAutoSpacing/>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3BF6"/>
    <w:rsid w:val="00000000"/>
    <w:rsid w:val="000D60CF"/>
    <w:rsid w:val="00220A60"/>
    <w:rsid w:val="00253AF0"/>
    <w:rsid w:val="00290DE9"/>
    <w:rsid w:val="003078EB"/>
    <w:rsid w:val="00485766"/>
    <w:rsid w:val="004A3DD0"/>
    <w:rsid w:val="006C21B5"/>
    <w:rsid w:val="0075199B"/>
    <w:rsid w:val="00A34239"/>
    <w:rsid w:val="00A730AA"/>
    <w:rsid w:val="00B84DAA"/>
    <w:rsid w:val="00C22215"/>
    <w:rsid w:val="00C93BF6"/>
    <w:rsid w:val="00D52E3B"/>
    <w:rsid w:val="00E914AA"/>
    <w:rsid w:val="00EE0528"/>
    <w:rsid w:val="00FB2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87A3C"/>
  <w14:defaultImageDpi w14:val="0"/>
  <w15:docId w15:val="{16095012-1CC9-4F87-B7C8-D37F4F72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1" w:locked="1"/>
    <w:lsdException w:name="heading 2" w:locked="1" w:semiHidden="1" w:uiPriority="0" w:unhideWhenUsed="1"/>
    <w:lsdException w:name="heading 3" w:locked="1" w:semiHidden="1" w:uiPriority="0" w:unhideWhenUsed="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unhideWhenUsed="1" w:qFormat="0"/>
    <w:lsdException w:name="footer" w:unhideWhenUsed="1" w:qFormat="0"/>
    <w:lsdException w:name="caption" w:locked="1" w:semiHidden="1" w:uiPriority="0" w:unhideWhenUsed="1"/>
    <w:lsdException w:name="Title" w:locked="1" w:uiPriority="0"/>
    <w:lsdException w:name="Default Paragraph Font" w:unhideWhenUsed="1" w:qFormat="0"/>
    <w:lsdException w:name="Subtitle" w:locked="1" w:uiPriority="0"/>
    <w:lsdException w:name="Strong" w:locked="1" w:uiPriority="0"/>
    <w:lsdException w:name="Emphasis" w:locked="1" w:uiPriority="0"/>
    <w:lsdException w:name="HTML Top of Form" w:qFormat="0"/>
    <w:lsdException w:name="HTML Bottom of Form" w:qFormat="0"/>
    <w:lsdException w:name="No List" w:semiHidden="1" w:unhideWhenUsed="1" w:qFormat="0"/>
    <w:lsdException w:name="Outline List 1" w:qFormat="0"/>
    <w:lsdException w:name="Outline List 2" w:qFormat="0"/>
    <w:lsdException w:name="Outline List 3" w:qFormat="0"/>
    <w:lsdException w:name="Table Grid" w:locked="1" w:uiPriority="0"/>
    <w:lsdException w:name="Placeholder Text"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
    <w:name w:val="Normal"/>
    <w:qFormat/>
    <w:pPr>
      <w:widowControl w:val="0"/>
      <w:jc w:val="both"/>
    </w:pPr>
    <w:rPr>
      <w:rFonts w:ascii="Calibri" w:hAnsi="Calibri" w:cs="宋体"/>
      <w:kern w:val="2"/>
      <w:sz w:val="21"/>
      <w:szCs w:val="21"/>
    </w:rPr>
  </w:style>
  <w:style w:type="paragraph" w:styleId="1">
    <w:name w:val="heading 1"/>
    <w:basedOn w:val="a"/>
    <w:next w:val="a"/>
    <w:link w:val="10"/>
    <w:uiPriority w:val="99"/>
    <w:qFormat/>
    <w:locked/>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99"/>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unhideWhenUsed/>
    <w:locked/>
    <w:rPr>
      <w:rFonts w:cs="Times New Roman"/>
      <w:b/>
      <w:bCs/>
      <w:kern w:val="44"/>
      <w:sz w:val="44"/>
      <w:szCs w:val="44"/>
    </w:rPr>
  </w:style>
  <w:style w:type="character" w:customStyle="1" w:styleId="11">
    <w:name w:val="页脚 字符1"/>
    <w:link w:val="a3"/>
    <w:uiPriority w:val="99"/>
    <w:unhideWhenUsed/>
    <w:locked/>
    <w:rPr>
      <w:rFonts w:cs="Times New Roman"/>
      <w:sz w:val="18"/>
      <w:szCs w:val="18"/>
    </w:rPr>
  </w:style>
  <w:style w:type="character" w:customStyle="1" w:styleId="12">
    <w:name w:val="页眉 字符1"/>
    <w:link w:val="a4"/>
    <w:uiPriority w:val="99"/>
    <w:unhideWhenUsed/>
    <w:locked/>
    <w:rPr>
      <w:rFonts w:cs="Times New Roman"/>
      <w:sz w:val="18"/>
      <w:szCs w:val="18"/>
    </w:rPr>
  </w:style>
  <w:style w:type="paragraph" w:customStyle="1" w:styleId="CM2">
    <w:name w:val="CM2"/>
    <w:basedOn w:val="Default"/>
    <w:next w:val="Default"/>
    <w:uiPriority w:val="99"/>
    <w:unhideWhenUsed/>
    <w:pPr>
      <w:spacing w:line="593" w:lineRule="atLeast"/>
    </w:pPr>
  </w:style>
  <w:style w:type="paragraph" w:customStyle="1" w:styleId="CM9">
    <w:name w:val="CM9"/>
    <w:basedOn w:val="Default"/>
    <w:next w:val="Default"/>
    <w:uiPriority w:val="99"/>
    <w:unhideWhenUsed/>
    <w:pPr>
      <w:spacing w:line="593" w:lineRule="atLeast"/>
    </w:pPr>
  </w:style>
  <w:style w:type="paragraph" w:customStyle="1" w:styleId="CM8">
    <w:name w:val="CM8"/>
    <w:basedOn w:val="Default"/>
    <w:next w:val="Default"/>
    <w:uiPriority w:val="99"/>
    <w:unhideWhenUsed/>
    <w:pPr>
      <w:spacing w:line="593" w:lineRule="atLeast"/>
    </w:pPr>
  </w:style>
  <w:style w:type="paragraph" w:customStyle="1" w:styleId="CM1">
    <w:name w:val="CM1"/>
    <w:basedOn w:val="Default"/>
    <w:next w:val="Default"/>
    <w:uiPriority w:val="99"/>
    <w:unhideWhenUsed/>
  </w:style>
  <w:style w:type="paragraph" w:customStyle="1" w:styleId="Default">
    <w:name w:val="Default"/>
    <w:unhideWhenUsed/>
    <w:pPr>
      <w:widowControl w:val="0"/>
      <w:autoSpaceDE w:val="0"/>
      <w:autoSpaceDN w:val="0"/>
      <w:adjustRightInd w:val="0"/>
    </w:pPr>
    <w:rPr>
      <w:rFonts w:ascii="LJDJON+DFSong" w:eastAsia="LJDJON+DFSong" w:hAnsi="Calibri" w:cs="LJDJON+DFSong"/>
      <w:color w:val="000000"/>
      <w:sz w:val="24"/>
      <w:szCs w:val="24"/>
    </w:rPr>
  </w:style>
  <w:style w:type="paragraph" w:customStyle="1" w:styleId="CM15">
    <w:name w:val="CM15"/>
    <w:basedOn w:val="Default"/>
    <w:next w:val="Default"/>
    <w:uiPriority w:val="99"/>
    <w:unhideWhenUsed/>
  </w:style>
  <w:style w:type="paragraph" w:customStyle="1" w:styleId="TableColumnHeading">
    <w:name w:val="TableColumnHeading"/>
    <w:basedOn w:val="Default"/>
    <w:next w:val="Default"/>
    <w:unhideWhenUsed/>
    <w:rPr>
      <w:rFonts w:ascii="Arial" w:eastAsia="宋体" w:hAnsi="Arial" w:cs="宋体"/>
    </w:rPr>
  </w:style>
  <w:style w:type="paragraph" w:customStyle="1" w:styleId="CM14">
    <w:name w:val="CM14"/>
    <w:basedOn w:val="Default"/>
    <w:next w:val="Default"/>
    <w:uiPriority w:val="99"/>
    <w:unhideWhenUsed/>
  </w:style>
  <w:style w:type="paragraph" w:customStyle="1" w:styleId="CM3">
    <w:name w:val="CM3"/>
    <w:basedOn w:val="Default"/>
    <w:next w:val="Default"/>
    <w:uiPriority w:val="99"/>
    <w:unhideWhenUsed/>
    <w:pPr>
      <w:spacing w:line="593" w:lineRule="atLeast"/>
    </w:pPr>
  </w:style>
  <w:style w:type="paragraph" w:customStyle="1" w:styleId="CM6">
    <w:name w:val="CM6"/>
    <w:basedOn w:val="Default"/>
    <w:next w:val="Default"/>
    <w:uiPriority w:val="99"/>
    <w:unhideWhenUsed/>
    <w:pPr>
      <w:spacing w:line="593" w:lineRule="atLeast"/>
    </w:pPr>
  </w:style>
  <w:style w:type="paragraph" w:styleId="a3">
    <w:name w:val="footer"/>
    <w:basedOn w:val="a"/>
    <w:link w:val="11"/>
    <w:uiPriority w:val="99"/>
    <w:unhideWhenUsed/>
    <w:pPr>
      <w:tabs>
        <w:tab w:val="center" w:pos="4153"/>
        <w:tab w:val="right" w:pos="8306"/>
      </w:tabs>
      <w:snapToGrid w:val="0"/>
      <w:jc w:val="left"/>
    </w:pPr>
    <w:rPr>
      <w:sz w:val="18"/>
      <w:szCs w:val="18"/>
    </w:rPr>
  </w:style>
  <w:style w:type="character" w:customStyle="1" w:styleId="a5">
    <w:name w:val="页脚 字符"/>
    <w:uiPriority w:val="99"/>
    <w:semiHidden/>
    <w:rPr>
      <w:rFonts w:ascii="Calibri" w:hAnsi="Calibri" w:cs="宋体"/>
      <w:sz w:val="18"/>
      <w:szCs w:val="18"/>
    </w:rPr>
  </w:style>
  <w:style w:type="character" w:customStyle="1" w:styleId="2">
    <w:name w:val="页脚 字符2"/>
    <w:uiPriority w:val="99"/>
    <w:semiHidden/>
    <w:rPr>
      <w:rFonts w:ascii="Calibri" w:hAnsi="Calibri" w:cs="宋体"/>
      <w:sz w:val="18"/>
      <w:szCs w:val="18"/>
    </w:rPr>
  </w:style>
  <w:style w:type="character" w:customStyle="1" w:styleId="Char1">
    <w:name w:val="页脚 Char1"/>
    <w:uiPriority w:val="99"/>
    <w:semiHidden/>
    <w:rPr>
      <w:rFonts w:ascii="Calibri" w:hAnsi="Calibri" w:cs="宋体"/>
      <w:sz w:val="18"/>
      <w:szCs w:val="18"/>
    </w:rPr>
  </w:style>
  <w:style w:type="character" w:customStyle="1" w:styleId="Char14">
    <w:name w:val="页脚 Char14"/>
    <w:uiPriority w:val="99"/>
    <w:semiHidden/>
    <w:rPr>
      <w:rFonts w:ascii="Calibri" w:hAnsi="Calibri" w:cs="宋体"/>
      <w:sz w:val="18"/>
      <w:szCs w:val="18"/>
    </w:rPr>
  </w:style>
  <w:style w:type="character" w:customStyle="1" w:styleId="Char13">
    <w:name w:val="页脚 Char13"/>
    <w:uiPriority w:val="99"/>
    <w:semiHidden/>
    <w:rPr>
      <w:rFonts w:ascii="Calibri" w:hAnsi="Calibri" w:cs="宋体"/>
      <w:sz w:val="18"/>
      <w:szCs w:val="18"/>
    </w:rPr>
  </w:style>
  <w:style w:type="character" w:customStyle="1" w:styleId="Char12">
    <w:name w:val="页脚 Char12"/>
    <w:uiPriority w:val="99"/>
    <w:semiHidden/>
    <w:rPr>
      <w:rFonts w:ascii="Calibri" w:hAnsi="Calibri" w:cs="宋体"/>
      <w:sz w:val="18"/>
      <w:szCs w:val="18"/>
    </w:rPr>
  </w:style>
  <w:style w:type="character" w:customStyle="1" w:styleId="Char11">
    <w:name w:val="页脚 Char11"/>
    <w:uiPriority w:val="99"/>
    <w:semiHidden/>
    <w:rPr>
      <w:rFonts w:ascii="Calibri" w:hAnsi="Calibri" w:cs="宋体"/>
      <w:sz w:val="18"/>
      <w:szCs w:val="18"/>
    </w:rPr>
  </w:style>
  <w:style w:type="paragraph" w:styleId="a4">
    <w:name w:val="header"/>
    <w:basedOn w:val="a"/>
    <w:link w:val="1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uiPriority w:val="99"/>
    <w:semiHidden/>
    <w:rPr>
      <w:rFonts w:ascii="Calibri" w:hAnsi="Calibri" w:cs="宋体"/>
      <w:sz w:val="18"/>
      <w:szCs w:val="18"/>
    </w:rPr>
  </w:style>
  <w:style w:type="character" w:customStyle="1" w:styleId="20">
    <w:name w:val="页眉 字符2"/>
    <w:uiPriority w:val="99"/>
    <w:semiHidden/>
    <w:rPr>
      <w:rFonts w:ascii="Calibri" w:hAnsi="Calibri" w:cs="宋体"/>
      <w:sz w:val="18"/>
      <w:szCs w:val="18"/>
    </w:rPr>
  </w:style>
  <w:style w:type="character" w:customStyle="1" w:styleId="Char10">
    <w:name w:val="页眉 Char1"/>
    <w:uiPriority w:val="99"/>
    <w:semiHidden/>
    <w:rPr>
      <w:rFonts w:ascii="Calibri" w:hAnsi="Calibri" w:cs="宋体"/>
      <w:sz w:val="18"/>
      <w:szCs w:val="18"/>
    </w:rPr>
  </w:style>
  <w:style w:type="character" w:customStyle="1" w:styleId="Char140">
    <w:name w:val="页眉 Char14"/>
    <w:uiPriority w:val="99"/>
    <w:semiHidden/>
    <w:rPr>
      <w:rFonts w:ascii="Calibri" w:hAnsi="Calibri" w:cs="宋体"/>
      <w:sz w:val="18"/>
      <w:szCs w:val="18"/>
    </w:rPr>
  </w:style>
  <w:style w:type="character" w:customStyle="1" w:styleId="Char130">
    <w:name w:val="页眉 Char13"/>
    <w:uiPriority w:val="99"/>
    <w:semiHidden/>
    <w:rPr>
      <w:rFonts w:ascii="Calibri" w:hAnsi="Calibri" w:cs="宋体"/>
      <w:sz w:val="18"/>
      <w:szCs w:val="18"/>
    </w:rPr>
  </w:style>
  <w:style w:type="character" w:customStyle="1" w:styleId="Char120">
    <w:name w:val="页眉 Char12"/>
    <w:uiPriority w:val="99"/>
    <w:semiHidden/>
    <w:rPr>
      <w:rFonts w:ascii="Calibri" w:hAnsi="Calibri" w:cs="宋体"/>
      <w:sz w:val="18"/>
      <w:szCs w:val="18"/>
    </w:rPr>
  </w:style>
  <w:style w:type="character" w:customStyle="1" w:styleId="Char110">
    <w:name w:val="页眉 Char11"/>
    <w:uiPriority w:val="99"/>
    <w:semiHidden/>
    <w:rPr>
      <w:rFonts w:ascii="Calibri" w:hAnsi="Calibri" w:cs="宋体"/>
      <w:sz w:val="18"/>
      <w:szCs w:val="18"/>
    </w:rPr>
  </w:style>
  <w:style w:type="paragraph" w:customStyle="1" w:styleId="CM13">
    <w:name w:val="CM13"/>
    <w:basedOn w:val="Default"/>
    <w:next w:val="Default"/>
    <w:uiPriority w:val="99"/>
    <w:unhideWhenUsed/>
    <w:pPr>
      <w:spacing w:line="620" w:lineRule="atLeast"/>
    </w:pPr>
  </w:style>
  <w:style w:type="paragraph" w:customStyle="1" w:styleId="CM4">
    <w:name w:val="CM4"/>
    <w:basedOn w:val="Default"/>
    <w:next w:val="Default"/>
    <w:uiPriority w:val="99"/>
    <w:unhideWhenUsed/>
    <w:pPr>
      <w:spacing w:line="593" w:lineRule="atLeast"/>
    </w:pPr>
  </w:style>
  <w:style w:type="paragraph" w:customStyle="1" w:styleId="CM7">
    <w:name w:val="CM7"/>
    <w:basedOn w:val="Default"/>
    <w:next w:val="Default"/>
    <w:uiPriority w:val="99"/>
    <w:unhideWhenUsed/>
    <w:pPr>
      <w:spacing w:line="593" w:lineRule="atLeast"/>
    </w:pPr>
  </w:style>
  <w:style w:type="paragraph" w:customStyle="1" w:styleId="CM10">
    <w:name w:val="CM10"/>
    <w:basedOn w:val="Default"/>
    <w:next w:val="Default"/>
    <w:uiPriority w:val="99"/>
    <w:unhideWhenUsed/>
    <w:pPr>
      <w:spacing w:line="593" w:lineRule="atLeast"/>
    </w:pPr>
  </w:style>
  <w:style w:type="paragraph" w:customStyle="1" w:styleId="CM5">
    <w:name w:val="CM5"/>
    <w:basedOn w:val="Default"/>
    <w:next w:val="Default"/>
    <w:uiPriority w:val="99"/>
    <w:unhideWhenUsed/>
    <w:pPr>
      <w:spacing w:line="593" w:lineRule="atLeast"/>
    </w:pPr>
  </w:style>
  <w:style w:type="paragraph" w:customStyle="1" w:styleId="CM12">
    <w:name w:val="CM12"/>
    <w:basedOn w:val="Default"/>
    <w:next w:val="Default"/>
    <w:uiPriority w:val="99"/>
    <w:unhideWhenUsed/>
    <w:pPr>
      <w:spacing w:line="620" w:lineRule="atLeast"/>
    </w:pPr>
  </w:style>
  <w:style w:type="paragraph" w:customStyle="1" w:styleId="CM11">
    <w:name w:val="CM11"/>
    <w:basedOn w:val="Default"/>
    <w:next w:val="Default"/>
    <w:uiPriority w:val="99"/>
    <w:unhideWhenUsed/>
    <w:pPr>
      <w:spacing w:line="620" w:lineRule="atLeast"/>
    </w:pPr>
  </w:style>
  <w:style w:type="paragraph" w:styleId="a7">
    <w:name w:val="Balloon Text"/>
    <w:basedOn w:val="a"/>
    <w:link w:val="a8"/>
    <w:uiPriority w:val="99"/>
    <w:qFormat/>
    <w:rsid w:val="00C93BF6"/>
    <w:rPr>
      <w:sz w:val="18"/>
      <w:szCs w:val="18"/>
    </w:rPr>
  </w:style>
  <w:style w:type="character" w:customStyle="1" w:styleId="a8">
    <w:name w:val="批注框文本 字符"/>
    <w:link w:val="a7"/>
    <w:uiPriority w:val="99"/>
    <w:locked/>
    <w:rsid w:val="00C93BF6"/>
    <w:rPr>
      <w:rFonts w:ascii="Calibri" w:hAnsi="Calibri"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7E1BF-1BCB-4EEF-827A-FD1710DD9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江苏东台农村商业银行股份有限公司</dc:title>
  <dc:subject/>
  <dc:creator>哈 哈</dc:creator>
  <cp:keywords/>
  <dc:description/>
  <cp:lastModifiedBy>哈 哈</cp:lastModifiedBy>
  <cp:revision>2</cp:revision>
  <dcterms:created xsi:type="dcterms:W3CDTF">2022-10-29T14:38:00Z</dcterms:created>
  <dcterms:modified xsi:type="dcterms:W3CDTF">2022-10-29T14:38:00Z</dcterms:modified>
</cp:coreProperties>
</file>