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before="0" w:after="0"/>
        <w:jc w:val="center"/>
        <w:rPr>
          <w:rFonts w:eastAsia="仿宋_GB2312;仿宋"/>
          <w:b/>
          <w:kern w:val="0"/>
          <w:sz w:val="28"/>
          <w:szCs w:val="28"/>
        </w:rPr>
      </w:pPr>
      <w:r>
        <w:rPr>
          <w:rFonts w:eastAsia="仿宋_GB2312;仿宋"/>
          <w:b/>
          <w:kern w:val="0"/>
          <w:sz w:val="28"/>
          <w:szCs w:val="28"/>
        </w:rPr>
        <w:t>xxx</w:t>
      </w:r>
      <w:r>
        <w:rPr>
          <w:rFonts w:eastAsia="仿宋_GB2312;仿宋"/>
          <w:b/>
          <w:kern w:val="0"/>
          <w:sz w:val="28"/>
          <w:szCs w:val="28"/>
        </w:rPr>
        <w:t>银行</w:t>
      </w:r>
    </w:p>
    <w:p>
      <w:pPr>
        <w:pStyle w:val="Style23"/>
        <w:ind w:hanging="0" w:right="0"/>
        <w:rPr>
          <w:rFonts w:ascii="Times New Roman" w:hAnsi="Times New Roman" w:cs="Times New Roman"/>
          <w:b w:val="false"/>
          <w:kern w:val="0"/>
        </w:rPr>
      </w:pPr>
      <w:r>
        <w:rPr>
          <w:rFonts w:ascii="Times New Roman" w:hAnsi="Times New Roman" w:cs="Times New Roman"/>
        </w:rPr>
        <w:t>信息科技风险管理办法（试行）</w:t>
      </w:r>
    </w:p>
    <w:p>
      <w:pPr>
        <w:pStyle w:val="Normal"/>
        <w:snapToGrid w:val="false"/>
        <w:spacing w:lineRule="auto" w:line="360" w:before="0" w:after="0"/>
        <w:rPr>
          <w:rFonts w:ascii="Times New Roman" w:hAnsi="Times New Roman" w:eastAsia="仿宋_GB2312;仿宋" w:cs="Times New Roman"/>
          <w:b/>
          <w:kern w:val="0"/>
          <w:sz w:val="28"/>
          <w:szCs w:val="28"/>
        </w:rPr>
      </w:pPr>
      <w:r>
        <w:rPr>
          <w:rFonts w:eastAsia="仿宋_GB2312;仿宋" w:cs="Times New Roman"/>
          <w:b/>
          <w:kern w:val="0"/>
          <w:sz w:val="28"/>
          <w:szCs w:val="28"/>
        </w:rPr>
      </w:r>
    </w:p>
    <w:p>
      <w:pPr>
        <w:pStyle w:val="Normal"/>
        <w:spacing w:lineRule="auto" w:line="360" w:before="0" w:after="0"/>
        <w:jc w:val="center"/>
        <w:rPr>
          <w:kern w:val="0"/>
          <w:sz w:val="28"/>
          <w:szCs w:val="28"/>
        </w:rPr>
      </w:pPr>
      <w:r>
        <w:rPr>
          <w:rFonts w:eastAsia="仿宋_GB2312;仿宋"/>
          <w:kern w:val="0"/>
          <w:sz w:val="28"/>
          <w:szCs w:val="28"/>
        </w:rPr>
        <w:t>第一章</w:t>
      </w:r>
      <w:r>
        <w:rPr>
          <w:rFonts w:eastAsia="Times New Roman"/>
          <w:kern w:val="0"/>
          <w:sz w:val="28"/>
          <w:szCs w:val="28"/>
        </w:rPr>
        <w:t xml:space="preserve">  </w:t>
      </w:r>
      <w:r>
        <w:rPr>
          <w:rFonts w:eastAsia="仿宋_GB2312;仿宋"/>
          <w:kern w:val="0"/>
          <w:sz w:val="28"/>
          <w:szCs w:val="28"/>
        </w:rPr>
        <w:t>总</w:t>
      </w:r>
      <w:r>
        <w:rPr>
          <w:rFonts w:eastAsia="Times New Roman"/>
          <w:kern w:val="0"/>
          <w:sz w:val="28"/>
          <w:szCs w:val="28"/>
        </w:rPr>
        <w:t xml:space="preserve">  </w:t>
      </w:r>
      <w:r>
        <w:rPr>
          <w:rFonts w:eastAsia="仿宋_GB2312;仿宋"/>
          <w:kern w:val="0"/>
          <w:sz w:val="28"/>
          <w:szCs w:val="28"/>
        </w:rPr>
        <w:t>则</w:t>
      </w:r>
    </w:p>
    <w:p>
      <w:pPr>
        <w:pStyle w:val="Style17"/>
        <w:shd w:fill="FFFFFF" w:val="clear"/>
        <w:spacing w:lineRule="atLeast" w:line="330" w:before="0" w:after="0"/>
        <w:ind w:firstLine="605"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w:t>
      </w:r>
      <w:r>
        <w:rPr>
          <w:rFonts w:eastAsia="仿宋_GB2312;仿宋"/>
          <w:sz w:val="28"/>
          <w:szCs w:val="28"/>
        </w:rPr>
        <w:t>“</w:t>
      </w:r>
      <w:r>
        <w:rPr>
          <w:rFonts w:ascii="Times New Roman" w:hAnsi="Times New Roman" w:cs="Times New Roman" w:eastAsia="仿宋_GB2312;仿宋"/>
          <w:sz w:val="28"/>
          <w:szCs w:val="28"/>
        </w:rPr>
        <w:t>本行</w:t>
      </w:r>
      <w:r>
        <w:rPr>
          <w:rFonts w:eastAsia="仿宋_GB2312;仿宋"/>
          <w:sz w:val="28"/>
          <w:szCs w:val="28"/>
        </w:rPr>
        <w:t>”</w:t>
      </w:r>
      <w:r>
        <w:rPr>
          <w:rFonts w:ascii="Times New Roman" w:hAnsi="Times New Roman" w:cs="Times New Roman" w:eastAsia="仿宋_GB2312;仿宋"/>
          <w:sz w:val="28"/>
          <w:szCs w:val="28"/>
        </w:rPr>
        <w:t>）信息科技风险管理，实现风险识别、计量、监测和控制，依据</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银行业金融机构全面风险管理指引》</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《商业银行信息科技风险管理指引》（银监发〔</w:t>
      </w:r>
      <w:r>
        <w:rPr>
          <w:rFonts w:eastAsia="仿宋_GB2312;仿宋" w:cs="Times New Roman" w:ascii="Times New Roman" w:hAnsi="Times New Roman"/>
          <w:sz w:val="28"/>
          <w:szCs w:val="28"/>
        </w:rPr>
        <w:t>2009</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19</w:t>
      </w:r>
      <w:r>
        <w:rPr>
          <w:rFonts w:ascii="Times New Roman" w:hAnsi="Times New Roman" w:cs="Times New Roman" w:eastAsia="仿宋_GB2312;仿宋"/>
          <w:sz w:val="28"/>
          <w:szCs w:val="28"/>
        </w:rPr>
        <w:t>号）、《江苏省农村商业银行信息科技风险管理制度（试行）》及相关</w:t>
      </w:r>
      <w:r>
        <w:rPr>
          <w:rFonts w:eastAsia="仿宋_GB2312;仿宋"/>
          <w:sz w:val="28"/>
          <w:szCs w:val="28"/>
        </w:rPr>
        <w:t>规定</w:t>
      </w:r>
      <w:r>
        <w:rPr>
          <w:rFonts w:ascii="Times New Roman" w:hAnsi="Times New Roman" w:cs="Times New Roman" w:eastAsia="仿宋_GB2312;仿宋"/>
          <w:sz w:val="28"/>
          <w:szCs w:val="28"/>
        </w:rPr>
        <w:t>，制定本</w:t>
      </w:r>
      <w:r>
        <w:rPr>
          <w:rFonts w:eastAsia="仿宋_GB2312;仿宋"/>
          <w:sz w:val="28"/>
          <w:szCs w:val="28"/>
        </w:rPr>
        <w:t>办法</w:t>
      </w:r>
      <w:r>
        <w:rPr>
          <w:rFonts w:ascii="Times New Roman" w:hAnsi="Times New Roman" w:cs="Times New Roman" w:eastAsia="仿宋_GB2312;仿宋"/>
          <w:sz w:val="28"/>
          <w:szCs w:val="28"/>
        </w:rPr>
        <w:t>。</w:t>
      </w:r>
    </w:p>
    <w:p>
      <w:pPr>
        <w:pStyle w:val="Normal"/>
        <w:spacing w:lineRule="auto" w:line="360" w:before="0" w:after="0"/>
        <w:ind w:firstLine="605" w:right="0"/>
        <w:rPr/>
      </w:pPr>
      <w:r>
        <w:rPr>
          <w:rFonts w:eastAsia="仿宋_GB2312;仿宋"/>
          <w:kern w:val="0"/>
          <w:sz w:val="28"/>
          <w:szCs w:val="28"/>
        </w:rPr>
        <w:t>第二条</w:t>
      </w:r>
      <w:r>
        <w:rPr>
          <w:rFonts w:eastAsia="Times New Roman"/>
          <w:kern w:val="0"/>
          <w:sz w:val="28"/>
          <w:szCs w:val="28"/>
        </w:rPr>
        <w:t xml:space="preserve">  </w:t>
      </w:r>
      <w:r>
        <w:rPr>
          <w:rFonts w:eastAsia="仿宋_GB2312;仿宋"/>
          <w:kern w:val="0"/>
          <w:sz w:val="28"/>
          <w:szCs w:val="28"/>
        </w:rPr>
        <w:t>本办法所称的信息科技风险是指本行在信息科技运用过程中，由于自然因素、人为因素、技术漏洞和管理缺陷等原因，产生的操作、法律和声誉等风险。信息科技风险包括但不限于：</w:t>
      </w:r>
    </w:p>
    <w:p>
      <w:pPr>
        <w:pStyle w:val="Normal"/>
        <w:spacing w:lineRule="auto" w:line="360" w:before="0" w:after="0"/>
        <w:ind w:firstLine="605" w:right="0"/>
        <w:rPr/>
      </w:pPr>
      <w:r>
        <w:rPr>
          <w:rFonts w:eastAsia="仿宋_GB2312;仿宋"/>
          <w:kern w:val="0"/>
          <w:sz w:val="28"/>
          <w:szCs w:val="28"/>
        </w:rPr>
        <w:t>（一）决策风险。具体体现为</w:t>
      </w:r>
      <w:r>
        <w:rPr>
          <w:rFonts w:eastAsia="仿宋_GB2312;仿宋"/>
          <w:kern w:val="0"/>
          <w:sz w:val="28"/>
          <w:szCs w:val="28"/>
        </w:rPr>
        <w:t>IT</w:t>
      </w:r>
      <w:r>
        <w:rPr>
          <w:rFonts w:eastAsia="仿宋_GB2312;仿宋"/>
          <w:kern w:val="0"/>
          <w:sz w:val="28"/>
          <w:szCs w:val="28"/>
        </w:rPr>
        <w:t>战略不能保持与业务战略的一致性，选择了不适合的信息科技路线。</w:t>
      </w:r>
    </w:p>
    <w:p>
      <w:pPr>
        <w:pStyle w:val="Normal"/>
        <w:spacing w:lineRule="auto" w:line="360" w:before="0" w:after="0"/>
        <w:ind w:firstLine="605" w:right="0"/>
        <w:rPr/>
      </w:pPr>
      <w:r>
        <w:rPr>
          <w:rFonts w:eastAsia="仿宋_GB2312;仿宋"/>
          <w:kern w:val="0"/>
          <w:sz w:val="28"/>
          <w:szCs w:val="28"/>
        </w:rPr>
        <w:t>（二）安全风险。具体体现为信息安全事件造成信息资源或系统等机密性、完整性、可用性受损。</w:t>
      </w:r>
    </w:p>
    <w:p>
      <w:pPr>
        <w:pStyle w:val="Normal"/>
        <w:spacing w:lineRule="auto" w:line="360" w:before="0" w:after="0"/>
        <w:ind w:firstLine="605" w:right="0"/>
        <w:rPr/>
      </w:pPr>
      <w:r>
        <w:rPr>
          <w:rFonts w:eastAsia="仿宋_GB2312;仿宋"/>
          <w:kern w:val="0"/>
          <w:sz w:val="28"/>
          <w:szCs w:val="28"/>
        </w:rPr>
        <w:t>（三）外包风险。具体体现为外包方选择失误，对外包方服务水平控制不力，缺乏有效监督及外包应急机制等。</w:t>
      </w:r>
    </w:p>
    <w:p>
      <w:pPr>
        <w:pStyle w:val="Normal"/>
        <w:spacing w:lineRule="auto" w:line="360" w:before="0" w:after="0"/>
        <w:ind w:firstLine="605" w:right="0"/>
        <w:rPr/>
      </w:pPr>
      <w:r>
        <w:rPr>
          <w:rFonts w:eastAsia="仿宋_GB2312;仿宋"/>
          <w:kern w:val="0"/>
          <w:sz w:val="28"/>
          <w:szCs w:val="28"/>
        </w:rPr>
        <w:t>（四）业务连续性风险。具体体现为环境灾难事件、自然灾难事件、人为事件等导致系统故障或资产受损，造成服务中断或业务无法持续。</w:t>
      </w:r>
    </w:p>
    <w:p>
      <w:pPr>
        <w:pStyle w:val="Normal"/>
        <w:spacing w:lineRule="auto" w:line="360" w:before="0" w:after="0"/>
        <w:ind w:firstLine="605" w:right="0"/>
        <w:rPr/>
      </w:pPr>
      <w:r>
        <w:rPr>
          <w:rFonts w:eastAsia="仿宋_GB2312;仿宋"/>
          <w:kern w:val="0"/>
          <w:sz w:val="28"/>
          <w:szCs w:val="28"/>
        </w:rPr>
        <w:t>（五）质量风险。具体体现为项目建设管理不规范，人为疏忽、不尽责导致信息系统设计、实现、部署、测试过程存在缺陷。</w:t>
      </w:r>
    </w:p>
    <w:p>
      <w:pPr>
        <w:pStyle w:val="Normal"/>
        <w:spacing w:lineRule="auto" w:line="360" w:before="0" w:after="0"/>
        <w:ind w:firstLine="605" w:right="0"/>
        <w:rPr/>
      </w:pPr>
      <w:r>
        <w:rPr>
          <w:rFonts w:eastAsia="仿宋_GB2312;仿宋"/>
          <w:kern w:val="0"/>
          <w:sz w:val="28"/>
          <w:szCs w:val="28"/>
        </w:rPr>
        <w:t>（六）运行风险。具体体现为运行监控不到位、不规范，事件应急处置机制不成熟，运行事件造成服务、数据可用性受损。</w:t>
      </w:r>
    </w:p>
    <w:p>
      <w:pPr>
        <w:pStyle w:val="Normal"/>
        <w:spacing w:lineRule="auto" w:line="360" w:before="0" w:after="0"/>
        <w:ind w:firstLine="605" w:right="0"/>
        <w:rPr/>
      </w:pPr>
      <w:r>
        <w:rPr>
          <w:rFonts w:eastAsia="仿宋_GB2312;仿宋"/>
          <w:kern w:val="0"/>
          <w:sz w:val="28"/>
          <w:szCs w:val="28"/>
        </w:rPr>
        <w:t>（七）合规风险。具体体现为不符合国家和行业的信息科技管理要求。</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第三条</w:t>
      </w:r>
      <w:r>
        <w:rPr>
          <w:rFonts w:eastAsia="Times New Roman"/>
          <w:kern w:val="0"/>
          <w:sz w:val="28"/>
          <w:szCs w:val="28"/>
        </w:rPr>
        <w:t xml:space="preserve">  </w:t>
      </w:r>
      <w:r>
        <w:rPr>
          <w:rFonts w:eastAsia="仿宋_GB2312;仿宋"/>
          <w:kern w:val="0"/>
          <w:sz w:val="28"/>
          <w:szCs w:val="28"/>
        </w:rPr>
        <w:t>本办法适用于</w:t>
      </w:r>
      <w:r>
        <w:rPr>
          <w:rFonts w:eastAsia="仿宋_GB2312;仿宋"/>
          <w:kern w:val="0"/>
          <w:sz w:val="28"/>
          <w:szCs w:val="28"/>
        </w:rPr>
        <w:t>总</w:t>
      </w:r>
      <w:r>
        <w:rPr>
          <w:rFonts w:eastAsia="仿宋_GB2312;仿宋"/>
          <w:kern w:val="0"/>
          <w:sz w:val="28"/>
          <w:szCs w:val="28"/>
        </w:rPr>
        <w:t>行及各营业网点的信息科技风险管理。</w:t>
      </w:r>
    </w:p>
    <w:p>
      <w:pPr>
        <w:pStyle w:val="Normal"/>
        <w:spacing w:lineRule="auto" w:line="360" w:before="0" w:after="0"/>
        <w:rPr>
          <w:rFonts w:eastAsia="仿宋_GB2312;仿宋"/>
          <w:kern w:val="0"/>
          <w:sz w:val="28"/>
          <w:szCs w:val="28"/>
        </w:rPr>
      </w:pPr>
      <w:r>
        <w:rPr>
          <w:rFonts w:eastAsia="仿宋_GB2312;仿宋"/>
          <w:kern w:val="0"/>
          <w:sz w:val="28"/>
          <w:szCs w:val="28"/>
        </w:rPr>
      </w:r>
    </w:p>
    <w:p>
      <w:pPr>
        <w:pStyle w:val="Normal"/>
        <w:spacing w:lineRule="auto" w:line="360" w:before="0" w:after="0"/>
        <w:jc w:val="center"/>
        <w:rPr/>
      </w:pPr>
      <w:r>
        <w:rPr>
          <w:rFonts w:eastAsia="仿宋_GB2312;仿宋"/>
          <w:kern w:val="0"/>
          <w:sz w:val="28"/>
          <w:szCs w:val="28"/>
        </w:rPr>
        <w:t>第二章</w:t>
      </w:r>
      <w:r>
        <w:rPr>
          <w:rFonts w:eastAsia="Times New Roman"/>
          <w:kern w:val="0"/>
          <w:sz w:val="28"/>
          <w:szCs w:val="28"/>
        </w:rPr>
        <w:t xml:space="preserve">  </w:t>
      </w:r>
      <w:r>
        <w:rPr>
          <w:rFonts w:eastAsia="仿宋_GB2312;仿宋"/>
          <w:kern w:val="0"/>
          <w:sz w:val="28"/>
          <w:szCs w:val="28"/>
        </w:rPr>
        <w:t>组织及职责</w:t>
      </w:r>
    </w:p>
    <w:p>
      <w:pPr>
        <w:pStyle w:val="Normal"/>
        <w:spacing w:lineRule="auto" w:line="360" w:before="0" w:after="0"/>
        <w:ind w:firstLine="605" w:right="0"/>
        <w:rPr/>
      </w:pPr>
      <w:r>
        <w:rPr>
          <w:rFonts w:eastAsia="仿宋_GB2312;仿宋"/>
          <w:kern w:val="0"/>
          <w:sz w:val="28"/>
          <w:szCs w:val="28"/>
        </w:rPr>
        <w:t>第四条</w:t>
      </w:r>
      <w:r>
        <w:rPr>
          <w:rFonts w:eastAsia="Times New Roman"/>
          <w:kern w:val="0"/>
          <w:sz w:val="28"/>
          <w:szCs w:val="28"/>
        </w:rPr>
        <w:t xml:space="preserve">  </w:t>
      </w:r>
      <w:r>
        <w:rPr>
          <w:rFonts w:eastAsia="仿宋_GB2312;仿宋"/>
          <w:kern w:val="0"/>
          <w:sz w:val="28"/>
          <w:szCs w:val="28"/>
        </w:rPr>
        <w:t>董事会是信息科技风险管理最高决策机构，法定代表人是信息科技风险管理的第一责任人。</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第五条</w:t>
      </w:r>
      <w:r>
        <w:rPr>
          <w:rFonts w:eastAsia="Times New Roman"/>
          <w:kern w:val="0"/>
          <w:sz w:val="28"/>
          <w:szCs w:val="28"/>
        </w:rPr>
        <w:t xml:space="preserve">  </w:t>
      </w:r>
      <w:r>
        <w:rPr>
          <w:rFonts w:eastAsia="仿宋_GB2312;仿宋"/>
          <w:kern w:val="0"/>
          <w:sz w:val="28"/>
          <w:szCs w:val="28"/>
        </w:rPr>
        <w:t>风险管理部门牵头开展信息科技风险管理工作。组织制定信息科技风险管理工作报告，经业务连续性管理委员会、高级管理层审议后，提交董事会决策。</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第六条</w:t>
      </w:r>
      <w:r>
        <w:rPr>
          <w:rFonts w:eastAsia="Times New Roman"/>
          <w:kern w:val="0"/>
          <w:sz w:val="28"/>
          <w:szCs w:val="28"/>
        </w:rPr>
        <w:t xml:space="preserve">  </w:t>
      </w:r>
      <w:r>
        <w:rPr>
          <w:rFonts w:eastAsia="仿宋_GB2312;仿宋"/>
          <w:kern w:val="0"/>
          <w:sz w:val="28"/>
          <w:szCs w:val="28"/>
        </w:rPr>
        <w:t>内部审计部门进行独立有效的信息科技风险管理审计，对审计报告进行确认并落实整改。</w:t>
      </w:r>
    </w:p>
    <w:p>
      <w:pPr>
        <w:pStyle w:val="Normal"/>
        <w:spacing w:lineRule="auto" w:line="360" w:before="0" w:after="0"/>
        <w:rPr>
          <w:rFonts w:eastAsia="仿宋_GB2312;仿宋"/>
          <w:kern w:val="0"/>
          <w:sz w:val="28"/>
          <w:szCs w:val="28"/>
        </w:rPr>
      </w:pPr>
      <w:r>
        <w:rPr>
          <w:rFonts w:eastAsia="仿宋_GB2312;仿宋"/>
          <w:kern w:val="0"/>
          <w:sz w:val="28"/>
          <w:szCs w:val="28"/>
        </w:rPr>
      </w:r>
    </w:p>
    <w:p>
      <w:pPr>
        <w:pStyle w:val="Normal"/>
        <w:spacing w:lineRule="auto" w:line="360" w:before="0" w:after="0"/>
        <w:jc w:val="center"/>
        <w:rPr>
          <w:rFonts w:eastAsia="仿宋_GB2312;仿宋"/>
          <w:kern w:val="0"/>
          <w:sz w:val="28"/>
          <w:szCs w:val="28"/>
        </w:rPr>
      </w:pPr>
      <w:r>
        <w:rPr>
          <w:rFonts w:eastAsia="仿宋_GB2312;仿宋"/>
          <w:kern w:val="0"/>
          <w:sz w:val="28"/>
          <w:szCs w:val="28"/>
        </w:rPr>
        <w:t>第三章</w:t>
      </w:r>
      <w:r>
        <w:rPr>
          <w:rFonts w:eastAsia="Times New Roman"/>
          <w:kern w:val="0"/>
          <w:sz w:val="28"/>
          <w:szCs w:val="28"/>
        </w:rPr>
        <w:t xml:space="preserve">  </w:t>
      </w:r>
      <w:r>
        <w:rPr>
          <w:rFonts w:eastAsia="仿宋_GB2312;仿宋"/>
          <w:kern w:val="0"/>
          <w:sz w:val="28"/>
          <w:szCs w:val="28"/>
        </w:rPr>
        <w:t>制度制订及维护</w:t>
      </w:r>
    </w:p>
    <w:p>
      <w:pPr>
        <w:pStyle w:val="Normal"/>
        <w:spacing w:lineRule="auto" w:line="360" w:before="0" w:after="0"/>
        <w:ind w:firstLine="605" w:right="0"/>
        <w:rPr/>
      </w:pPr>
      <w:r>
        <w:rPr>
          <w:rFonts w:eastAsia="仿宋_GB2312;仿宋"/>
          <w:kern w:val="0"/>
          <w:sz w:val="28"/>
          <w:szCs w:val="28"/>
        </w:rPr>
        <w:t>第七条</w:t>
      </w:r>
      <w:r>
        <w:rPr>
          <w:rFonts w:eastAsia="Times New Roman"/>
          <w:kern w:val="0"/>
          <w:sz w:val="28"/>
          <w:szCs w:val="28"/>
        </w:rPr>
        <w:t xml:space="preserve">  </w:t>
      </w:r>
      <w:r>
        <w:rPr>
          <w:rFonts w:eastAsia="仿宋_GB2312;仿宋"/>
          <w:kern w:val="0"/>
          <w:sz w:val="28"/>
          <w:szCs w:val="28"/>
        </w:rPr>
        <w:t>风险管理部门牵头组织制订本单位信息科技风险管理制度体系，包括策略、制度、流程及表单。该体系应通过业务连续性管理委员会审议，经高级管理层集体研究后报送董事会决策批准。</w:t>
      </w:r>
    </w:p>
    <w:p>
      <w:pPr>
        <w:pStyle w:val="Normal"/>
        <w:spacing w:lineRule="auto" w:line="360" w:before="0" w:after="0"/>
        <w:ind w:firstLine="605" w:right="0"/>
        <w:rPr/>
      </w:pPr>
      <w:r>
        <w:rPr>
          <w:rFonts w:eastAsia="仿宋_GB2312;仿宋"/>
          <w:kern w:val="0"/>
          <w:sz w:val="28"/>
          <w:szCs w:val="28"/>
        </w:rPr>
        <w:t>第八条</w:t>
      </w:r>
      <w:r>
        <w:rPr>
          <w:rFonts w:eastAsia="Times New Roman"/>
          <w:kern w:val="0"/>
          <w:sz w:val="28"/>
          <w:szCs w:val="28"/>
        </w:rPr>
        <w:t xml:space="preserve">  </w:t>
      </w:r>
      <w:r>
        <w:rPr>
          <w:rFonts w:eastAsia="仿宋_GB2312;仿宋"/>
          <w:kern w:val="0"/>
          <w:sz w:val="28"/>
          <w:szCs w:val="28"/>
        </w:rPr>
        <w:t>信息科技风险管理制度体系包括但不限于以下内容：</w:t>
      </w:r>
    </w:p>
    <w:p>
      <w:pPr>
        <w:pStyle w:val="Normal"/>
        <w:spacing w:lineRule="auto" w:line="360" w:before="0" w:after="0"/>
        <w:ind w:firstLine="605" w:right="0"/>
        <w:rPr/>
      </w:pPr>
      <w:r>
        <w:rPr>
          <w:rFonts w:eastAsia="仿宋_GB2312;仿宋"/>
          <w:kern w:val="0"/>
          <w:sz w:val="28"/>
          <w:szCs w:val="28"/>
        </w:rPr>
        <w:t>（一）科技治理。</w:t>
      </w:r>
    </w:p>
    <w:p>
      <w:pPr>
        <w:pStyle w:val="Normal"/>
        <w:spacing w:lineRule="auto" w:line="360" w:before="0" w:after="0"/>
        <w:ind w:firstLine="605" w:right="0"/>
        <w:rPr/>
      </w:pPr>
      <w:r>
        <w:rPr>
          <w:rFonts w:eastAsia="仿宋_GB2312;仿宋"/>
          <w:kern w:val="0"/>
          <w:sz w:val="28"/>
          <w:szCs w:val="28"/>
        </w:rPr>
        <w:t>（二）风险管理。</w:t>
      </w:r>
    </w:p>
    <w:p>
      <w:pPr>
        <w:pStyle w:val="Normal"/>
        <w:spacing w:lineRule="auto" w:line="360" w:before="0" w:after="0"/>
        <w:ind w:firstLine="605" w:right="0"/>
        <w:rPr/>
      </w:pPr>
      <w:r>
        <w:rPr>
          <w:rFonts w:eastAsia="仿宋_GB2312;仿宋"/>
          <w:kern w:val="0"/>
          <w:sz w:val="28"/>
          <w:szCs w:val="28"/>
        </w:rPr>
        <w:t>（三）安全管理。</w:t>
      </w:r>
    </w:p>
    <w:p>
      <w:pPr>
        <w:pStyle w:val="Normal"/>
        <w:spacing w:lineRule="auto" w:line="360" w:before="0" w:after="0"/>
        <w:ind w:firstLine="605" w:right="0"/>
        <w:rPr/>
      </w:pPr>
      <w:r>
        <w:rPr>
          <w:rFonts w:eastAsia="仿宋_GB2312;仿宋"/>
          <w:kern w:val="0"/>
          <w:sz w:val="28"/>
          <w:szCs w:val="28"/>
        </w:rPr>
        <w:t>（四）项目管理。</w:t>
      </w:r>
    </w:p>
    <w:p>
      <w:pPr>
        <w:pStyle w:val="Normal"/>
        <w:spacing w:lineRule="auto" w:line="360" w:before="0" w:after="0"/>
        <w:ind w:firstLine="605" w:right="0"/>
        <w:rPr/>
      </w:pPr>
      <w:r>
        <w:rPr>
          <w:rFonts w:eastAsia="仿宋_GB2312;仿宋"/>
          <w:kern w:val="0"/>
          <w:sz w:val="28"/>
          <w:szCs w:val="28"/>
        </w:rPr>
        <w:t>（五）运行管理。</w:t>
      </w:r>
    </w:p>
    <w:p>
      <w:pPr>
        <w:pStyle w:val="Normal"/>
        <w:spacing w:lineRule="auto" w:line="360" w:before="0" w:after="0"/>
        <w:ind w:firstLine="605" w:right="0"/>
        <w:rPr/>
      </w:pPr>
      <w:r>
        <w:rPr>
          <w:rFonts w:eastAsia="仿宋_GB2312;仿宋"/>
          <w:kern w:val="0"/>
          <w:sz w:val="28"/>
          <w:szCs w:val="28"/>
        </w:rPr>
        <w:t>（六）业务连续性管理。</w:t>
      </w:r>
    </w:p>
    <w:p>
      <w:pPr>
        <w:pStyle w:val="Normal"/>
        <w:spacing w:lineRule="auto" w:line="360" w:before="0" w:after="0"/>
        <w:ind w:firstLine="605" w:right="0"/>
        <w:rPr/>
      </w:pPr>
      <w:r>
        <w:rPr>
          <w:rFonts w:eastAsia="仿宋_GB2312;仿宋"/>
          <w:kern w:val="0"/>
          <w:sz w:val="28"/>
          <w:szCs w:val="28"/>
        </w:rPr>
        <w:t>（七）外包管理。</w:t>
      </w:r>
    </w:p>
    <w:p>
      <w:pPr>
        <w:pStyle w:val="Normal"/>
        <w:spacing w:lineRule="auto" w:line="360" w:before="0" w:after="0"/>
        <w:ind w:firstLine="605" w:right="0"/>
        <w:rPr/>
      </w:pPr>
      <w:r>
        <w:rPr>
          <w:rFonts w:eastAsia="仿宋_GB2312;仿宋"/>
          <w:kern w:val="0"/>
          <w:sz w:val="28"/>
          <w:szCs w:val="28"/>
        </w:rPr>
        <w:t>（八）审计。</w:t>
      </w:r>
    </w:p>
    <w:p>
      <w:pPr>
        <w:pStyle w:val="Normal"/>
        <w:spacing w:lineRule="auto" w:line="360" w:before="0" w:after="0"/>
        <w:ind w:firstLine="605" w:right="0"/>
        <w:rPr/>
      </w:pPr>
      <w:r>
        <w:rPr>
          <w:rFonts w:eastAsia="仿宋_GB2312;仿宋"/>
          <w:kern w:val="0"/>
          <w:sz w:val="28"/>
          <w:szCs w:val="28"/>
        </w:rPr>
        <w:t>第九条</w:t>
      </w:r>
      <w:r>
        <w:rPr>
          <w:rFonts w:eastAsia="Times New Roman"/>
          <w:kern w:val="0"/>
          <w:sz w:val="28"/>
          <w:szCs w:val="28"/>
        </w:rPr>
        <w:t xml:space="preserve">  </w:t>
      </w:r>
      <w:r>
        <w:rPr>
          <w:rFonts w:eastAsia="仿宋_GB2312;仿宋"/>
          <w:kern w:val="0"/>
          <w:sz w:val="28"/>
          <w:szCs w:val="28"/>
        </w:rPr>
        <w:t>本行每年对信息科技风险管理制度体系进行修订维护。</w:t>
      </w:r>
    </w:p>
    <w:p>
      <w:pPr>
        <w:pStyle w:val="Normal"/>
        <w:spacing w:lineRule="auto" w:line="360" w:before="0" w:after="0"/>
        <w:rPr>
          <w:rFonts w:eastAsia="仿宋_GB2312;仿宋"/>
          <w:kern w:val="0"/>
          <w:sz w:val="28"/>
          <w:szCs w:val="28"/>
        </w:rPr>
      </w:pPr>
      <w:r>
        <w:rPr>
          <w:rFonts w:eastAsia="仿宋_GB2312;仿宋"/>
          <w:kern w:val="0"/>
          <w:sz w:val="28"/>
          <w:szCs w:val="28"/>
        </w:rPr>
      </w:r>
    </w:p>
    <w:p>
      <w:pPr>
        <w:pStyle w:val="Normal"/>
        <w:spacing w:lineRule="auto" w:line="360" w:before="0" w:after="0"/>
        <w:jc w:val="center"/>
        <w:rPr>
          <w:rFonts w:eastAsia="仿宋_GB2312;仿宋"/>
          <w:kern w:val="0"/>
          <w:sz w:val="28"/>
          <w:szCs w:val="28"/>
        </w:rPr>
      </w:pPr>
      <w:r>
        <w:rPr>
          <w:rFonts w:eastAsia="仿宋_GB2312;仿宋"/>
          <w:kern w:val="0"/>
          <w:sz w:val="28"/>
          <w:szCs w:val="28"/>
        </w:rPr>
        <w:t>第四章</w:t>
      </w:r>
      <w:r>
        <w:rPr>
          <w:rFonts w:eastAsia="Times New Roman"/>
          <w:kern w:val="0"/>
          <w:sz w:val="28"/>
          <w:szCs w:val="28"/>
        </w:rPr>
        <w:t xml:space="preserve">  </w:t>
      </w:r>
      <w:r>
        <w:rPr>
          <w:rFonts w:eastAsia="仿宋_GB2312;仿宋"/>
          <w:kern w:val="0"/>
          <w:sz w:val="28"/>
          <w:szCs w:val="28"/>
        </w:rPr>
        <w:t>科技风险评估及处置</w:t>
      </w:r>
    </w:p>
    <w:p>
      <w:pPr>
        <w:pStyle w:val="Normal"/>
        <w:spacing w:lineRule="auto" w:line="360" w:before="0" w:after="0"/>
        <w:ind w:firstLine="605" w:right="0"/>
        <w:rPr/>
      </w:pPr>
      <w:r>
        <w:rPr>
          <w:rFonts w:eastAsia="仿宋_GB2312;仿宋"/>
          <w:kern w:val="0"/>
          <w:sz w:val="28"/>
          <w:szCs w:val="28"/>
        </w:rPr>
        <w:t>第十条</w:t>
      </w:r>
      <w:r>
        <w:rPr>
          <w:rFonts w:eastAsia="Times New Roman"/>
          <w:kern w:val="0"/>
          <w:sz w:val="28"/>
          <w:szCs w:val="28"/>
        </w:rPr>
        <w:t xml:space="preserve">  </w:t>
      </w:r>
      <w:r>
        <w:rPr>
          <w:rFonts w:eastAsia="仿宋_GB2312;仿宋"/>
          <w:kern w:val="0"/>
          <w:sz w:val="28"/>
          <w:szCs w:val="28"/>
        </w:rPr>
        <w:t>评估工作</w:t>
      </w:r>
    </w:p>
    <w:p>
      <w:pPr>
        <w:pStyle w:val="Normal"/>
        <w:spacing w:lineRule="auto" w:line="360" w:before="0" w:after="0"/>
        <w:ind w:firstLine="605" w:right="0"/>
        <w:rPr/>
      </w:pPr>
      <w:r>
        <w:rPr>
          <w:rFonts w:eastAsia="仿宋_GB2312;仿宋"/>
          <w:kern w:val="0"/>
          <w:sz w:val="28"/>
          <w:szCs w:val="28"/>
        </w:rPr>
        <w:t>（一）本行风险管理部门组织建立针对外部风险提示、重大项目的立项和投产环节的风险评估方法，并牵头实施。</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（二）建立重大项目在设计和运维环节的风险评估方法，并牵头实施。</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（三</w:t>
      </w:r>
      <w:r>
        <w:rPr>
          <w:rFonts w:eastAsia="仿宋_GB2312;仿宋"/>
          <w:kern w:val="0"/>
          <w:sz w:val="28"/>
          <w:szCs w:val="28"/>
        </w:rPr>
        <w:t>）建立信息科技风险管理体系的风险评估方法，并每年执行评估工作。</w:t>
      </w:r>
    </w:p>
    <w:p>
      <w:pPr>
        <w:pStyle w:val="Normal"/>
        <w:spacing w:lineRule="auto" w:line="360" w:before="0" w:after="0"/>
        <w:ind w:firstLine="605" w:right="0"/>
        <w:rPr/>
      </w:pPr>
      <w:r>
        <w:rPr>
          <w:rFonts w:eastAsia="仿宋_GB2312;仿宋"/>
          <w:kern w:val="0"/>
          <w:sz w:val="28"/>
          <w:szCs w:val="28"/>
        </w:rPr>
        <w:t>第十一条</w:t>
      </w:r>
      <w:r>
        <w:rPr>
          <w:rFonts w:eastAsia="Times New Roman"/>
          <w:kern w:val="0"/>
          <w:sz w:val="28"/>
          <w:szCs w:val="28"/>
        </w:rPr>
        <w:t xml:space="preserve">  </w:t>
      </w:r>
      <w:r>
        <w:rPr>
          <w:rFonts w:eastAsia="仿宋_GB2312;仿宋"/>
          <w:kern w:val="0"/>
          <w:sz w:val="28"/>
          <w:szCs w:val="28"/>
        </w:rPr>
        <w:t>处置工作</w:t>
      </w:r>
    </w:p>
    <w:p>
      <w:pPr>
        <w:pStyle w:val="Normal"/>
        <w:spacing w:lineRule="auto" w:line="360" w:before="0" w:after="0"/>
        <w:ind w:firstLine="605" w:right="0"/>
        <w:rPr/>
      </w:pPr>
      <w:r>
        <w:rPr>
          <w:rFonts w:eastAsia="仿宋_GB2312;仿宋"/>
          <w:kern w:val="0"/>
          <w:sz w:val="28"/>
          <w:szCs w:val="28"/>
        </w:rPr>
        <w:t>（一）风险管理部门基于风险评估及信息科技审计结果，牵头组织制订风险处置管理要求，实施处置工作。</w:t>
      </w:r>
    </w:p>
    <w:p>
      <w:pPr>
        <w:pStyle w:val="Normal"/>
        <w:spacing w:lineRule="auto" w:line="360" w:before="0" w:after="0"/>
        <w:ind w:firstLine="605" w:right="0"/>
        <w:rPr/>
      </w:pPr>
      <w:r>
        <w:rPr>
          <w:rFonts w:eastAsia="仿宋_GB2312;仿宋"/>
          <w:kern w:val="0"/>
          <w:sz w:val="28"/>
          <w:szCs w:val="28"/>
        </w:rPr>
        <w:t>（二）每年对信息科技风险管理体系评估所发现问题进行风险处置。</w:t>
      </w:r>
    </w:p>
    <w:p>
      <w:pPr>
        <w:pStyle w:val="Normal"/>
        <w:spacing w:lineRule="auto" w:line="360" w:before="0" w:after="0"/>
        <w:rPr>
          <w:rFonts w:eastAsia="仿宋_GB2312;仿宋"/>
          <w:kern w:val="0"/>
          <w:sz w:val="28"/>
          <w:szCs w:val="28"/>
        </w:rPr>
      </w:pPr>
      <w:r>
        <w:rPr>
          <w:rFonts w:eastAsia="仿宋_GB2312;仿宋"/>
          <w:kern w:val="0"/>
          <w:sz w:val="28"/>
          <w:szCs w:val="28"/>
        </w:rPr>
      </w:r>
    </w:p>
    <w:p>
      <w:pPr>
        <w:pStyle w:val="Normal"/>
        <w:spacing w:lineRule="auto" w:line="360" w:before="0" w:after="0"/>
        <w:jc w:val="center"/>
        <w:rPr>
          <w:rFonts w:eastAsia="仿宋_GB2312;仿宋"/>
          <w:kern w:val="0"/>
          <w:sz w:val="28"/>
          <w:szCs w:val="28"/>
        </w:rPr>
      </w:pPr>
      <w:r>
        <w:rPr>
          <w:rFonts w:eastAsia="仿宋_GB2312;仿宋"/>
          <w:kern w:val="0"/>
          <w:sz w:val="28"/>
          <w:szCs w:val="28"/>
        </w:rPr>
        <w:t>第五章</w:t>
      </w:r>
      <w:r>
        <w:rPr>
          <w:rFonts w:eastAsia="Times New Roman"/>
          <w:kern w:val="0"/>
          <w:sz w:val="28"/>
          <w:szCs w:val="28"/>
        </w:rPr>
        <w:t xml:space="preserve">  </w:t>
      </w:r>
      <w:r>
        <w:rPr>
          <w:rFonts w:eastAsia="仿宋_GB2312;仿宋"/>
          <w:kern w:val="0"/>
          <w:sz w:val="28"/>
          <w:szCs w:val="28"/>
        </w:rPr>
        <w:t>科技风险监测</w:t>
      </w:r>
    </w:p>
    <w:p>
      <w:pPr>
        <w:pStyle w:val="Normal"/>
        <w:spacing w:lineRule="auto" w:line="360" w:before="0" w:after="0"/>
        <w:ind w:firstLine="605" w:right="0"/>
        <w:rPr/>
      </w:pPr>
      <w:r>
        <w:rPr>
          <w:rFonts w:eastAsia="仿宋_GB2312;仿宋"/>
          <w:kern w:val="0"/>
          <w:sz w:val="28"/>
          <w:szCs w:val="28"/>
        </w:rPr>
        <w:t>第十二条</w:t>
      </w:r>
      <w:r>
        <w:rPr>
          <w:rFonts w:eastAsia="Times New Roman"/>
          <w:kern w:val="0"/>
          <w:sz w:val="28"/>
          <w:szCs w:val="28"/>
        </w:rPr>
        <w:t xml:space="preserve">  </w:t>
      </w:r>
      <w:r>
        <w:rPr>
          <w:rFonts w:eastAsia="仿宋_GB2312;仿宋"/>
          <w:kern w:val="0"/>
          <w:sz w:val="28"/>
          <w:szCs w:val="28"/>
        </w:rPr>
        <w:t>风险管理部门组织建立本</w:t>
      </w:r>
      <w:r>
        <w:rPr>
          <w:rFonts w:eastAsia="仿宋_GB2312;仿宋"/>
          <w:kern w:val="0"/>
          <w:sz w:val="28"/>
          <w:szCs w:val="28"/>
        </w:rPr>
        <w:t>行</w:t>
      </w:r>
      <w:r>
        <w:rPr>
          <w:rFonts w:eastAsia="仿宋_GB2312;仿宋"/>
          <w:kern w:val="0"/>
          <w:sz w:val="28"/>
          <w:szCs w:val="28"/>
        </w:rPr>
        <w:t>信息科技风险管理专项检查机制，并牵头实施检查工作。</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第十三条</w:t>
      </w:r>
      <w:r>
        <w:rPr>
          <w:rFonts w:eastAsia="Times New Roman"/>
          <w:kern w:val="0"/>
          <w:sz w:val="28"/>
          <w:szCs w:val="28"/>
        </w:rPr>
        <w:t xml:space="preserve"> </w:t>
      </w:r>
      <w:r>
        <w:rPr>
          <w:rFonts w:eastAsia="仿宋_GB2312;仿宋"/>
          <w:kern w:val="0"/>
          <w:sz w:val="28"/>
          <w:szCs w:val="28"/>
        </w:rPr>
        <w:t>风险管理部门组织建立信息科技风险监测数据的采集和报送机制，以及信息科技风险监测指标体系和分析方法。</w:t>
      </w:r>
    </w:p>
    <w:p>
      <w:pPr>
        <w:pStyle w:val="Normal"/>
        <w:spacing w:lineRule="auto" w:line="360" w:before="0" w:after="0"/>
        <w:ind w:firstLine="605" w:right="0"/>
        <w:rPr/>
      </w:pPr>
      <w:r>
        <w:rPr>
          <w:rFonts w:eastAsia="仿宋_GB2312;仿宋"/>
          <w:kern w:val="0"/>
          <w:sz w:val="28"/>
          <w:szCs w:val="28"/>
        </w:rPr>
        <w:t>第十四条</w:t>
      </w:r>
      <w:r>
        <w:rPr>
          <w:rFonts w:eastAsia="Times New Roman"/>
          <w:kern w:val="0"/>
          <w:sz w:val="28"/>
          <w:szCs w:val="28"/>
        </w:rPr>
        <w:t xml:space="preserve">  </w:t>
      </w:r>
      <w:r>
        <w:rPr>
          <w:rFonts w:eastAsia="仿宋_GB2312;仿宋"/>
          <w:kern w:val="0"/>
          <w:sz w:val="28"/>
          <w:szCs w:val="28"/>
        </w:rPr>
        <w:t>定期实施信息科技风险数据的采集和分析。条件允许情况下可运用信息系统定期实施。监测范围至少包括：</w:t>
      </w:r>
    </w:p>
    <w:p>
      <w:pPr>
        <w:pStyle w:val="Normal"/>
        <w:spacing w:lineRule="auto" w:line="360" w:before="0" w:after="0"/>
        <w:ind w:firstLine="605" w:right="0"/>
        <w:rPr/>
      </w:pPr>
      <w:r>
        <w:rPr>
          <w:rFonts w:eastAsia="仿宋_GB2312;仿宋"/>
          <w:kern w:val="0"/>
          <w:sz w:val="28"/>
          <w:szCs w:val="28"/>
        </w:rPr>
        <w:t>（一）信息科技项目（含科技外包）实施情况。</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（二）信息系统日常运行指标及状况。</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（三）运行环境下的操作风险。</w:t>
      </w:r>
    </w:p>
    <w:p>
      <w:pPr>
        <w:pStyle w:val="Normal"/>
        <w:spacing w:lineRule="auto" w:line="360" w:before="0" w:after="0"/>
        <w:ind w:firstLine="605" w:right="0"/>
        <w:rPr/>
      </w:pPr>
      <w:r>
        <w:rPr>
          <w:rFonts w:eastAsia="仿宋_GB2312;仿宋"/>
          <w:kern w:val="0"/>
          <w:sz w:val="28"/>
          <w:szCs w:val="28"/>
        </w:rPr>
        <w:t>（四）信息安全事件。</w:t>
      </w:r>
    </w:p>
    <w:p>
      <w:pPr>
        <w:pStyle w:val="Normal"/>
        <w:spacing w:lineRule="auto" w:line="360" w:before="0" w:after="0"/>
        <w:ind w:firstLine="605" w:right="0"/>
        <w:rPr/>
      </w:pPr>
      <w:r>
        <w:rPr>
          <w:rFonts w:eastAsia="仿宋_GB2312;仿宋"/>
          <w:kern w:val="0"/>
          <w:sz w:val="28"/>
          <w:szCs w:val="28"/>
        </w:rPr>
        <w:t>（五）信息科技服务投诉和事件形成的风险点。</w:t>
      </w:r>
    </w:p>
    <w:p>
      <w:pPr>
        <w:pStyle w:val="Normal"/>
        <w:spacing w:lineRule="auto" w:line="360" w:before="0" w:after="0"/>
        <w:ind w:firstLine="605" w:right="0"/>
        <w:rPr/>
      </w:pPr>
      <w:r>
        <w:rPr>
          <w:rFonts w:eastAsia="仿宋_GB2312;仿宋"/>
          <w:kern w:val="0"/>
          <w:sz w:val="28"/>
          <w:szCs w:val="28"/>
        </w:rPr>
        <w:t>（六）内部审计、外部审计和监管发现问题及风险处置情况。</w:t>
      </w:r>
    </w:p>
    <w:p>
      <w:pPr>
        <w:pStyle w:val="Normal"/>
        <w:spacing w:lineRule="auto" w:line="360" w:before="0" w:after="0"/>
        <w:ind w:firstLine="605" w:right="0"/>
        <w:rPr/>
      </w:pPr>
      <w:r>
        <w:rPr>
          <w:rFonts w:eastAsia="仿宋_GB2312;仿宋"/>
          <w:kern w:val="0"/>
          <w:sz w:val="28"/>
          <w:szCs w:val="28"/>
        </w:rPr>
        <w:t>（七）外包服务商服务水平协议完成情况。</w:t>
      </w:r>
    </w:p>
    <w:p>
      <w:pPr>
        <w:pStyle w:val="Normal"/>
        <w:spacing w:lineRule="auto" w:line="360" w:before="0" w:after="0"/>
        <w:ind w:firstLine="605" w:right="0"/>
        <w:rPr/>
      </w:pPr>
      <w:r>
        <w:rPr>
          <w:rFonts w:eastAsia="仿宋_GB2312;仿宋"/>
          <w:kern w:val="0"/>
          <w:sz w:val="28"/>
          <w:szCs w:val="28"/>
        </w:rPr>
        <w:t>（八）新技术发展可能造成的影响和已使用软件面临的新威胁。</w:t>
      </w:r>
    </w:p>
    <w:p>
      <w:pPr>
        <w:pStyle w:val="Normal"/>
        <w:spacing w:lineRule="auto" w:line="360" w:before="0" w:after="0"/>
        <w:rPr>
          <w:rFonts w:eastAsia="仿宋_GB2312;仿宋"/>
          <w:kern w:val="0"/>
          <w:sz w:val="28"/>
          <w:szCs w:val="28"/>
        </w:rPr>
      </w:pPr>
      <w:r>
        <w:rPr>
          <w:rFonts w:eastAsia="仿宋_GB2312;仿宋"/>
          <w:kern w:val="0"/>
          <w:sz w:val="28"/>
          <w:szCs w:val="28"/>
        </w:rPr>
      </w:r>
    </w:p>
    <w:p>
      <w:pPr>
        <w:pStyle w:val="Normal"/>
        <w:spacing w:lineRule="auto" w:line="360" w:before="0" w:after="0"/>
        <w:jc w:val="center"/>
        <w:rPr>
          <w:rFonts w:eastAsia="仿宋_GB2312;仿宋"/>
          <w:kern w:val="0"/>
          <w:sz w:val="28"/>
          <w:szCs w:val="28"/>
        </w:rPr>
      </w:pPr>
      <w:r>
        <w:rPr>
          <w:rFonts w:eastAsia="仿宋_GB2312;仿宋"/>
          <w:kern w:val="0"/>
          <w:sz w:val="28"/>
          <w:szCs w:val="28"/>
        </w:rPr>
        <w:t>第六章</w:t>
      </w:r>
      <w:r>
        <w:rPr>
          <w:rFonts w:eastAsia="Times New Roman"/>
          <w:kern w:val="0"/>
          <w:sz w:val="28"/>
          <w:szCs w:val="28"/>
        </w:rPr>
        <w:t xml:space="preserve">  </w:t>
      </w:r>
      <w:r>
        <w:rPr>
          <w:rFonts w:eastAsia="仿宋_GB2312;仿宋"/>
          <w:kern w:val="0"/>
          <w:sz w:val="28"/>
          <w:szCs w:val="28"/>
        </w:rPr>
        <w:t>报告及培训</w:t>
      </w:r>
    </w:p>
    <w:p>
      <w:pPr>
        <w:pStyle w:val="Normal"/>
        <w:spacing w:lineRule="auto" w:line="360" w:before="0" w:after="0"/>
        <w:ind w:firstLine="605" w:right="0"/>
        <w:rPr/>
      </w:pPr>
      <w:r>
        <w:rPr>
          <w:rFonts w:eastAsia="仿宋_GB2312;仿宋"/>
          <w:kern w:val="0"/>
          <w:sz w:val="28"/>
          <w:szCs w:val="28"/>
        </w:rPr>
        <w:t>第十五条</w:t>
      </w:r>
      <w:r>
        <w:rPr>
          <w:rFonts w:eastAsia="Times New Roman"/>
          <w:kern w:val="0"/>
          <w:sz w:val="28"/>
          <w:szCs w:val="28"/>
        </w:rPr>
        <w:t xml:space="preserve">  </w:t>
      </w:r>
      <w:r>
        <w:rPr>
          <w:rFonts w:eastAsia="仿宋_GB2312;仿宋"/>
          <w:kern w:val="0"/>
          <w:sz w:val="28"/>
          <w:szCs w:val="28"/>
        </w:rPr>
        <w:t>风险管理部门牵头组织制订编写信息科技风险管理年度报告，提交业务连续性管理委员会和高级管理层审议后并入风险管理年度报告，提交董事会决策。根据管理要求，将年度报告报送行业管理机构。</w:t>
      </w:r>
    </w:p>
    <w:p>
      <w:pPr>
        <w:pStyle w:val="Normal"/>
        <w:spacing w:lineRule="auto" w:line="360" w:before="0" w:after="0"/>
        <w:ind w:firstLine="605" w:right="0"/>
        <w:rPr/>
      </w:pPr>
      <w:r>
        <w:rPr>
          <w:rFonts w:eastAsia="仿宋_GB2312;仿宋"/>
          <w:kern w:val="0"/>
          <w:sz w:val="28"/>
          <w:szCs w:val="28"/>
        </w:rPr>
        <w:t>第十六条</w:t>
      </w:r>
      <w:r>
        <w:rPr>
          <w:rFonts w:eastAsia="Times New Roman"/>
          <w:kern w:val="0"/>
          <w:sz w:val="28"/>
          <w:szCs w:val="28"/>
        </w:rPr>
        <w:t xml:space="preserve">  </w:t>
      </w:r>
      <w:r>
        <w:rPr>
          <w:rFonts w:eastAsia="仿宋_GB2312;仿宋"/>
          <w:kern w:val="0"/>
          <w:sz w:val="28"/>
          <w:szCs w:val="28"/>
        </w:rPr>
        <w:t>风险管理部门制订信息科技风险意识培训年度计划，每年组织实施面向不同层面的信息科技风险意识培训。</w:t>
      </w:r>
    </w:p>
    <w:p>
      <w:pPr>
        <w:pStyle w:val="Normal"/>
        <w:spacing w:lineRule="auto" w:line="360" w:before="0" w:after="0"/>
        <w:rPr>
          <w:rFonts w:eastAsia="仿宋_GB2312;仿宋"/>
          <w:kern w:val="0"/>
          <w:sz w:val="28"/>
          <w:szCs w:val="28"/>
        </w:rPr>
      </w:pPr>
      <w:r>
        <w:rPr>
          <w:rFonts w:eastAsia="仿宋_GB2312;仿宋"/>
          <w:kern w:val="0"/>
          <w:sz w:val="28"/>
          <w:szCs w:val="28"/>
        </w:rPr>
      </w:r>
    </w:p>
    <w:p>
      <w:pPr>
        <w:pStyle w:val="Normal"/>
        <w:spacing w:lineRule="auto" w:line="360" w:before="0" w:after="0"/>
        <w:jc w:val="center"/>
        <w:rPr/>
      </w:pPr>
      <w:r>
        <w:rPr>
          <w:rFonts w:eastAsia="仿宋_GB2312;仿宋"/>
          <w:kern w:val="0"/>
          <w:sz w:val="28"/>
          <w:szCs w:val="28"/>
        </w:rPr>
        <w:t>第七章</w:t>
      </w:r>
      <w:r>
        <w:rPr>
          <w:rFonts w:eastAsia="Times New Roman"/>
          <w:kern w:val="0"/>
          <w:sz w:val="28"/>
          <w:szCs w:val="28"/>
        </w:rPr>
        <w:t xml:space="preserve">  </w:t>
      </w:r>
      <w:r>
        <w:rPr>
          <w:rFonts w:eastAsia="仿宋_GB2312;仿宋"/>
          <w:kern w:val="0"/>
          <w:sz w:val="28"/>
          <w:szCs w:val="28"/>
        </w:rPr>
        <w:t>附</w:t>
      </w:r>
      <w:r>
        <w:rPr>
          <w:rFonts w:eastAsia="Times New Roman"/>
          <w:kern w:val="0"/>
          <w:sz w:val="28"/>
          <w:szCs w:val="28"/>
        </w:rPr>
        <w:t xml:space="preserve">  </w:t>
      </w:r>
      <w:r>
        <w:rPr>
          <w:rFonts w:eastAsia="仿宋_GB2312;仿宋"/>
          <w:kern w:val="0"/>
          <w:sz w:val="28"/>
          <w:szCs w:val="28"/>
        </w:rPr>
        <w:t>则</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t>第十七条</w:t>
      </w:r>
      <w:r>
        <w:rPr>
          <w:rFonts w:eastAsia="Times New Roman"/>
          <w:kern w:val="0"/>
          <w:sz w:val="28"/>
          <w:szCs w:val="28"/>
        </w:rPr>
        <w:t xml:space="preserve">  </w:t>
      </w:r>
      <w:r>
        <w:rPr>
          <w:rFonts w:eastAsia="仿宋_GB2312;仿宋"/>
          <w:kern w:val="0"/>
          <w:sz w:val="28"/>
          <w:szCs w:val="28"/>
        </w:rPr>
        <w:t>本办法由</w:t>
      </w:r>
      <w:r>
        <w:rPr>
          <w:rFonts w:eastAsia="仿宋_GB2312;仿宋"/>
          <w:kern w:val="0"/>
          <w:sz w:val="28"/>
          <w:szCs w:val="28"/>
        </w:rPr>
        <w:t>xxx</w:t>
      </w:r>
      <w:r>
        <w:rPr>
          <w:rFonts w:eastAsia="仿宋_GB2312;仿宋"/>
          <w:kern w:val="0"/>
          <w:sz w:val="28"/>
          <w:szCs w:val="28"/>
        </w:rPr>
        <w:t>银行信息科技部负责解释</w:t>
      </w:r>
      <w:r>
        <w:rPr>
          <w:rFonts w:eastAsia="仿宋_GB2312;仿宋"/>
          <w:kern w:val="0"/>
          <w:sz w:val="28"/>
          <w:szCs w:val="28"/>
        </w:rPr>
        <w:t>和</w:t>
      </w:r>
      <w:r>
        <w:rPr>
          <w:rFonts w:eastAsia="仿宋_GB2312;仿宋"/>
          <w:kern w:val="0"/>
          <w:sz w:val="28"/>
          <w:szCs w:val="28"/>
        </w:rPr>
        <w:t>修订。</w:t>
      </w:r>
    </w:p>
    <w:p>
      <w:pPr>
        <w:pStyle w:val="Normal"/>
        <w:spacing w:lineRule="auto" w:line="360" w:before="0" w:after="0"/>
        <w:ind w:firstLine="605" w:right="0"/>
        <w:rPr>
          <w:rFonts w:eastAsia="仿宋_GB2312;仿宋"/>
        </w:rPr>
      </w:pPr>
      <w:r>
        <w:rPr>
          <w:rFonts w:eastAsia="仿宋_GB2312;仿宋"/>
          <w:kern w:val="0"/>
          <w:sz w:val="28"/>
          <w:szCs w:val="28"/>
        </w:rPr>
        <w:t>第十八条</w:t>
      </w:r>
      <w:r>
        <w:rPr>
          <w:rFonts w:eastAsia="Times New Roman"/>
          <w:kern w:val="0"/>
          <w:sz w:val="28"/>
          <w:szCs w:val="28"/>
        </w:rPr>
        <w:t xml:space="preserve">  </w:t>
      </w:r>
      <w:r>
        <w:rPr>
          <w:rFonts w:eastAsia="仿宋_GB2312;仿宋"/>
          <w:kern w:val="0"/>
          <w:sz w:val="28"/>
          <w:szCs w:val="28"/>
        </w:rPr>
        <w:t>本办法</w:t>
      </w:r>
      <w:r>
        <w:rPr>
          <w:rFonts w:eastAsia="仿宋_GB2312;仿宋"/>
          <w:sz w:val="28"/>
          <w:szCs w:val="28"/>
        </w:rPr>
        <w:t>自发文之日起施行</w:t>
      </w:r>
      <w:r>
        <w:rPr>
          <w:rFonts w:eastAsia="仿宋_GB2312;仿宋"/>
          <w:kern w:val="0"/>
          <w:sz w:val="28"/>
          <w:szCs w:val="28"/>
        </w:rPr>
        <w:t>。</w:t>
      </w:r>
      <w:r>
        <w:rPr>
          <w:rFonts w:eastAsia="Times New Roman"/>
          <w:kern w:val="0"/>
          <w:sz w:val="28"/>
          <w:szCs w:val="28"/>
        </w:rPr>
        <w:t xml:space="preserve"> </w:t>
      </w:r>
    </w:p>
    <w:p>
      <w:pPr>
        <w:pStyle w:val="Normal"/>
        <w:spacing w:lineRule="auto" w:line="360" w:before="0" w:after="0"/>
        <w:ind w:firstLine="605" w:right="0"/>
        <w:rPr>
          <w:rFonts w:eastAsia="仿宋_GB2312;仿宋"/>
          <w:kern w:val="0"/>
          <w:sz w:val="28"/>
          <w:szCs w:val="28"/>
        </w:rPr>
      </w:pPr>
      <w:r>
        <w:rPr>
          <w:rFonts w:eastAsia="仿宋_GB2312;仿宋"/>
          <w:kern w:val="0"/>
          <w:sz w:val="28"/>
          <w:szCs w:val="28"/>
        </w:rPr>
      </w:r>
    </w:p>
    <w:sectPr>
      <w:type w:val="nextPage"/>
      <w:pgSz w:w="11906" w:h="16838"/>
      <w:pgMar w:left="1531" w:right="1531" w:gutter="0" w:header="0" w:top="2098" w:footer="0" w:bottom="1701"/>
      <w:pgNumType w:fmt="decimal"/>
      <w:formProt w:val="false"/>
      <w:textDirection w:val="lrTb"/>
      <w:docGrid w:type="linesAndChars" w:linePitch="289" w:charSpace="450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Calibri">
    <w:charset w:val="00"/>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left"/>
      <w:pPr>
        <w:tabs>
          <w:tab w:val="num" w:pos="3977"/>
        </w:tabs>
        <w:ind w:left="3977" w:hanging="432"/>
      </w:pPr>
      <w:rPr>
        <w:sz w:val="36"/>
        <w:i w:val="false"/>
        <w:b/>
        <w:szCs w:val="32"/>
        <w:rFonts w:ascii="宋体;SimSun" w:hAnsi="宋体;SimSun" w:eastAsia="宋体;SimSun" w:cs="宋体;SimSun"/>
      </w:rPr>
    </w:lvl>
    <w:lvl w:ilvl="1">
      <w:start w:val="1"/>
      <w:pStyle w:val="Heading2"/>
      <w:numFmt w:val="decimal"/>
      <w:lvlText w:val="%1.%2"/>
      <w:lvlJc w:val="left"/>
      <w:pPr>
        <w:tabs>
          <w:tab w:val="num" w:pos="576"/>
        </w:tabs>
        <w:ind w:left="576" w:hanging="576"/>
      </w:pPr>
      <w:rPr>
        <w:sz w:val="28"/>
        <w:i w:val="false"/>
        <w:b/>
        <w:szCs w:val="28"/>
        <w:rFonts w:ascii="Arial" w:hAnsi="Arial" w:eastAsia="黑体;SimHei" w:cs="Arial"/>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360" w:before="100" w:after="10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spacing w:lineRule="auto" w:line="360" w:before="240" w:after="240"/>
      <w:jc w:val="center"/>
      <w:textAlignment w:val="baseline"/>
      <w:outlineLvl w:val="0"/>
    </w:pPr>
    <w:rPr>
      <w:rFonts w:eastAsia="黑体;SimHei"/>
      <w:b/>
      <w:bCs/>
      <w:kern w:val="2"/>
      <w:sz w:val="36"/>
      <w:szCs w:val="44"/>
      <w:lang w:val="zh-CN"/>
    </w:rPr>
  </w:style>
  <w:style w:type="paragraph" w:styleId="Heading2">
    <w:name w:val="Heading 2"/>
    <w:basedOn w:val="Normal"/>
    <w:next w:val="Style13"/>
    <w:qFormat/>
    <w:pPr>
      <w:keepNext w:val="true"/>
      <w:keepLines/>
      <w:numPr>
        <w:ilvl w:val="1"/>
        <w:numId w:val="1"/>
      </w:numPr>
      <w:tabs>
        <w:tab w:val="clear" w:pos="420"/>
        <w:tab w:val="left" w:pos="576" w:leader="none"/>
      </w:tabs>
      <w:spacing w:lineRule="auto" w:line="360" w:before="240" w:after="120"/>
      <w:outlineLvl w:val="1"/>
    </w:pPr>
    <w:rPr>
      <w:rFonts w:ascii="Arial" w:hAnsi="Arial" w:cs="Arial"/>
      <w:b/>
      <w:bCs/>
      <w:sz w:val="28"/>
      <w:szCs w:val="32"/>
      <w:lang w:val="zh-CN"/>
    </w:rPr>
  </w:style>
  <w:style w:type="paragraph" w:styleId="Heading3">
    <w:name w:val="Heading 3"/>
    <w:basedOn w:val="Normal"/>
    <w:next w:val="Style13"/>
    <w:qFormat/>
    <w:pPr>
      <w:keepNext w:val="true"/>
      <w:keepLines/>
      <w:numPr>
        <w:ilvl w:val="2"/>
        <w:numId w:val="1"/>
      </w:numPr>
      <w:tabs>
        <w:tab w:val="clear" w:pos="420"/>
        <w:tab w:val="left" w:pos="720" w:leader="none"/>
      </w:tabs>
      <w:spacing w:before="240" w:after="120"/>
      <w:outlineLvl w:val="2"/>
    </w:pPr>
    <w:rPr>
      <w:b/>
      <w:bCs/>
      <w:sz w:val="28"/>
      <w:szCs w:val="32"/>
      <w:lang w:val="zh-CN"/>
    </w:rPr>
  </w:style>
  <w:style w:type="paragraph" w:styleId="Heading4">
    <w:name w:val="Heading 4"/>
    <w:basedOn w:val="Normal"/>
    <w:next w:val="Style13"/>
    <w:qFormat/>
    <w:pPr>
      <w:keepNext w:val="true"/>
      <w:keepLines/>
      <w:numPr>
        <w:ilvl w:val="3"/>
        <w:numId w:val="1"/>
      </w:numPr>
      <w:tabs>
        <w:tab w:val="clear" w:pos="420"/>
        <w:tab w:val="left" w:pos="864" w:leader="none"/>
      </w:tabs>
      <w:spacing w:before="240" w:after="120"/>
      <w:outlineLvl w:val="3"/>
    </w:pPr>
    <w:rPr>
      <w:rFonts w:ascii="Arial" w:hAnsi="Arial" w:cs="Arial"/>
      <w:b/>
      <w:bCs/>
      <w:sz w:val="24"/>
      <w:szCs w:val="28"/>
      <w:lang w:val="zh-CN"/>
    </w:rPr>
  </w:style>
  <w:style w:type="paragraph" w:styleId="Heading5">
    <w:name w:val="Heading 5"/>
    <w:basedOn w:val="Normal"/>
    <w:next w:val="Style13"/>
    <w:qFormat/>
    <w:pPr>
      <w:keepNext w:val="true"/>
      <w:keepLines/>
      <w:numPr>
        <w:ilvl w:val="4"/>
        <w:numId w:val="1"/>
      </w:numPr>
      <w:tabs>
        <w:tab w:val="clear" w:pos="420"/>
        <w:tab w:val="left" w:pos="1008" w:leader="none"/>
      </w:tabs>
      <w:spacing w:before="120" w:after="120"/>
      <w:outlineLvl w:val="4"/>
    </w:pPr>
    <w:rPr>
      <w:b/>
      <w:bCs/>
      <w:szCs w:val="28"/>
      <w:lang w:val="zh-CN"/>
    </w:rPr>
  </w:style>
  <w:style w:type="paragraph" w:styleId="Heading6">
    <w:name w:val="Heading 6"/>
    <w:basedOn w:val="Normal"/>
    <w:next w:val="Normal"/>
    <w:qFormat/>
    <w:pPr>
      <w:keepNext w:val="true"/>
      <w:keepLines/>
      <w:numPr>
        <w:ilvl w:val="5"/>
        <w:numId w:val="1"/>
      </w:numPr>
      <w:tabs>
        <w:tab w:val="clear" w:pos="420"/>
        <w:tab w:val="left" w:pos="1152" w:leader="none"/>
      </w:tabs>
      <w:spacing w:before="120" w:after="0"/>
      <w:outlineLvl w:val="5"/>
    </w:pPr>
    <w:rPr>
      <w:rFonts w:ascii="Arial" w:hAnsi="Arial" w:cs="Arial"/>
      <w:b/>
      <w:bCs/>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tLeast" w:line="320" w:before="240" w:after="64"/>
      <w:outlineLvl w:val="6"/>
    </w:pPr>
    <w:rPr>
      <w:b/>
      <w:bCs/>
      <w:sz w:val="24"/>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tLeast" w:line="320" w:before="240" w:after="64"/>
      <w:outlineLvl w:val="7"/>
    </w:pPr>
    <w:rPr>
      <w:rFonts w:ascii="Arial" w:hAnsi="Arial" w:eastAsia="黑体;SimHei" w:cs="Arial"/>
      <w:sz w:val="24"/>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tLeast" w:line="320" w:before="240" w:after="64"/>
      <w:outlineLvl w:val="8"/>
    </w:pPr>
    <w:rPr>
      <w:rFonts w:ascii="Arial" w:hAnsi="Arial" w:eastAsia="黑体;SimHei" w:cs="Arial"/>
      <w:szCs w:val="21"/>
    </w:rPr>
  </w:style>
  <w:style w:type="character" w:styleId="WW8Num1z0">
    <w:name w:val="WW8Num1z0"/>
    <w:qFormat/>
    <w:rPr/>
  </w:style>
  <w:style w:type="character" w:styleId="WW8Num5z0">
    <w:name w:val="WW8Num5z0"/>
    <w:qFormat/>
    <w:rPr>
      <w:rFonts w:ascii="宋体;SimSun" w:hAnsi="宋体;SimSun" w:eastAsia="宋体;SimSun" w:cs="宋体;SimSun"/>
      <w:b/>
      <w:i w:val="false"/>
      <w:sz w:val="36"/>
      <w:szCs w:val="32"/>
    </w:rPr>
  </w:style>
  <w:style w:type="character" w:styleId="WW8Num5z1">
    <w:name w:val="WW8Num5z1"/>
    <w:qFormat/>
    <w:rPr>
      <w:rFonts w:ascii="Arial" w:hAnsi="Arial" w:eastAsia="黑体;SimHei" w:cs="Arial"/>
      <w:b/>
      <w:i w:val="false"/>
      <w:sz w:val="28"/>
      <w:szCs w:val="28"/>
    </w:rPr>
  </w:style>
  <w:style w:type="character" w:styleId="WW8Num5z2">
    <w:name w:val="WW8Num5z2"/>
    <w:qFormat/>
    <w:rPr/>
  </w:style>
  <w:style w:type="character" w:styleId="WW8Num8z0">
    <w:name w:val="WW8Num8z0"/>
    <w:qFormat/>
    <w:rPr>
      <w:b/>
      <w:lang w:val="en-US"/>
    </w:rPr>
  </w:style>
  <w:style w:type="character" w:styleId="WW8Num8z1">
    <w:name w:val="WW8Num8z1"/>
    <w:qFormat/>
    <w:rPr/>
  </w:style>
  <w:style w:type="character" w:styleId="Style5">
    <w:name w:val="默认段落字体"/>
    <w:qFormat/>
    <w:rPr/>
  </w:style>
  <w:style w:type="character" w:styleId="5Char">
    <w:name w:val="标题 5 Char"/>
    <w:qFormat/>
    <w:rPr>
      <w:b/>
      <w:bCs/>
      <w:kern w:val="2"/>
      <w:sz w:val="21"/>
      <w:szCs w:val="28"/>
    </w:rPr>
  </w:style>
  <w:style w:type="character" w:styleId="3Char">
    <w:name w:val="标题 3 Char"/>
    <w:qFormat/>
    <w:rPr>
      <w:b/>
      <w:bCs/>
      <w:kern w:val="2"/>
      <w:sz w:val="28"/>
      <w:szCs w:val="32"/>
    </w:rPr>
  </w:style>
  <w:style w:type="character" w:styleId="Hyperlink">
    <w:name w:val="Hyperlink"/>
    <w:rPr>
      <w:color w:val="0000FF"/>
      <w:u w:val="single"/>
    </w:rPr>
  </w:style>
  <w:style w:type="character" w:styleId="PageNumber">
    <w:name w:val="Page Number"/>
    <w:basedOn w:val="Style5"/>
    <w:rPr/>
  </w:style>
  <w:style w:type="character" w:styleId="Char">
    <w:name w:val="批注框文本 Char"/>
    <w:qFormat/>
    <w:rPr>
      <w:kern w:val="2"/>
      <w:sz w:val="18"/>
      <w:szCs w:val="18"/>
    </w:rPr>
  </w:style>
  <w:style w:type="character" w:styleId="Char1">
    <w:name w:val="页眉 Char"/>
    <w:qFormat/>
    <w:rPr>
      <w:kern w:val="2"/>
      <w:sz w:val="18"/>
      <w:szCs w:val="18"/>
    </w:rPr>
  </w:style>
  <w:style w:type="character" w:styleId="Style6">
    <w:name w:val="批注引用"/>
    <w:qFormat/>
    <w:rPr>
      <w:sz w:val="21"/>
      <w:szCs w:val="21"/>
    </w:rPr>
  </w:style>
  <w:style w:type="character" w:styleId="4Char">
    <w:name w:val="标题 4 Char"/>
    <w:qFormat/>
    <w:rPr>
      <w:rFonts w:ascii="Arial" w:hAnsi="Arial" w:cs="Arial"/>
      <w:b/>
      <w:bCs/>
      <w:kern w:val="2"/>
      <w:sz w:val="24"/>
      <w:szCs w:val="28"/>
    </w:rPr>
  </w:style>
  <w:style w:type="character" w:styleId="Char2">
    <w:name w:val="批注主题 Char"/>
    <w:qFormat/>
    <w:rPr>
      <w:b/>
      <w:bCs/>
      <w:kern w:val="2"/>
      <w:sz w:val="21"/>
      <w:szCs w:val="24"/>
    </w:rPr>
  </w:style>
  <w:style w:type="character" w:styleId="Char3">
    <w:name w:val="正文首行缩进 Char"/>
    <w:qFormat/>
    <w:rPr>
      <w:kern w:val="2"/>
      <w:sz w:val="21"/>
      <w:szCs w:val="24"/>
    </w:rPr>
  </w:style>
  <w:style w:type="character" w:styleId="1Char">
    <w:name w:val="标题 1 Char"/>
    <w:qFormat/>
    <w:rPr>
      <w:rFonts w:eastAsia="黑体;SimHei"/>
      <w:b/>
      <w:bCs/>
      <w:kern w:val="2"/>
      <w:sz w:val="36"/>
      <w:szCs w:val="44"/>
    </w:rPr>
  </w:style>
  <w:style w:type="character" w:styleId="2Char">
    <w:name w:val="标题 2 Char"/>
    <w:qFormat/>
    <w:rPr>
      <w:rFonts w:ascii="Arial" w:hAnsi="Arial" w:cs="Arial"/>
      <w:b/>
      <w:bCs/>
      <w:kern w:val="2"/>
      <w:sz w:val="28"/>
      <w:szCs w:val="32"/>
    </w:rPr>
  </w:style>
  <w:style w:type="character" w:styleId="Char4">
    <w:name w:val="批注文字 Char"/>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1">
    <w:name w:val="样式 标题 1"/>
    <w:basedOn w:val="Heading1"/>
    <w:qFormat/>
    <w:pPr>
      <w:numPr>
        <w:ilvl w:val="0"/>
        <w:numId w:val="0"/>
      </w:numPr>
      <w:spacing w:before="340" w:after="330"/>
      <w:ind w:hanging="0" w:left="0" w:right="0"/>
      <w:textAlignment w:val="auto"/>
    </w:pPr>
    <w:rPr>
      <w:rFonts w:eastAsia="宋体;SimSun" w:cs="宋体;SimSun"/>
      <w:szCs w:val="20"/>
    </w:rPr>
  </w:style>
  <w:style w:type="paragraph" w:styleId="Style7">
    <w:name w:val="封面文档日期"/>
    <w:basedOn w:val="Normal"/>
    <w:next w:val="Normal"/>
    <w:qFormat/>
    <w:pPr>
      <w:jc w:val="center"/>
    </w:pPr>
    <w:rPr>
      <w:rFonts w:eastAsia="黑体;SimHei"/>
      <w:sz w:val="32"/>
    </w:rPr>
  </w:style>
  <w:style w:type="paragraph" w:styleId="TOC2">
    <w:name w:val="TOC 2"/>
    <w:basedOn w:val="Normal"/>
    <w:next w:val="Normal"/>
    <w:pPr>
      <w:tabs>
        <w:tab w:val="clear" w:pos="420"/>
        <w:tab w:val="left" w:pos="900" w:leader="none"/>
        <w:tab w:val="right" w:pos="8302" w:leader="dot"/>
      </w:tabs>
      <w:spacing w:lineRule="auto" w:line="240" w:before="100" w:after="0"/>
      <w:ind w:hanging="0" w:left="359" w:right="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lang w:val="zh-CN"/>
    </w:rPr>
  </w:style>
  <w:style w:type="paragraph" w:styleId="Style8">
    <w:name w:val="批注框文本"/>
    <w:basedOn w:val="Normal"/>
    <w:qFormat/>
    <w:pPr>
      <w:spacing w:lineRule="auto" w:line="240" w:before="0" w:after="0"/>
    </w:pPr>
    <w:rPr>
      <w:sz w:val="18"/>
      <w:szCs w:val="18"/>
      <w:lang w:val="zh-CN"/>
    </w:rPr>
  </w:style>
  <w:style w:type="paragraph" w:styleId="Style9">
    <w:name w:val="日期"/>
    <w:basedOn w:val="Normal"/>
    <w:next w:val="Normal"/>
    <w:qFormat/>
    <w:pPr>
      <w:ind w:hanging="0" w:left="100" w:right="0"/>
    </w:pPr>
    <w:rPr/>
  </w:style>
  <w:style w:type="paragraph" w:styleId="Style10">
    <w:name w:val="文档结构图"/>
    <w:basedOn w:val="Normal"/>
    <w:qFormat/>
    <w:pPr>
      <w:shd w:fill="000080" w:val="clear"/>
    </w:pPr>
    <w:rPr/>
  </w:style>
  <w:style w:type="paragraph" w:styleId="Style11">
    <w:name w:val="批注文字"/>
    <w:basedOn w:val="Normal"/>
    <w:qFormat/>
    <w:pPr>
      <w:jc w:val="left"/>
    </w:pPr>
    <w:rPr>
      <w:lang w:val="zh-CN"/>
    </w:rPr>
  </w:style>
  <w:style w:type="paragraph" w:styleId="Style12">
    <w:name w:val="批注主题"/>
    <w:basedOn w:val="Style11"/>
    <w:next w:val="Style11"/>
    <w:qFormat/>
    <w:pPr/>
    <w:rPr>
      <w:b/>
      <w:bCs/>
    </w:rPr>
  </w:style>
  <w:style w:type="paragraph" w:styleId="TOC1">
    <w:name w:val="TOC 1"/>
    <w:basedOn w:val="Normal"/>
    <w:next w:val="Normal"/>
    <w:pPr>
      <w:tabs>
        <w:tab w:val="clear" w:pos="420"/>
        <w:tab w:val="left" w:pos="720" w:leader="none"/>
        <w:tab w:val="right" w:pos="8302" w:leader="dot"/>
      </w:tabs>
      <w:spacing w:lineRule="auto" w:line="240" w:before="100" w:after="0"/>
    </w:pPr>
    <w:rPr>
      <w:b/>
    </w:rPr>
  </w:style>
  <w:style w:type="paragraph" w:styleId="TOC3">
    <w:name w:val="TOC 3"/>
    <w:basedOn w:val="Normal"/>
    <w:next w:val="Normal"/>
    <w:pPr>
      <w:tabs>
        <w:tab w:val="clear" w:pos="420"/>
        <w:tab w:val="left" w:pos="1080" w:leader="none"/>
        <w:tab w:val="right" w:pos="8302" w:leader="dot"/>
      </w:tabs>
      <w:spacing w:lineRule="auto" w:line="240" w:before="0" w:after="0"/>
      <w:ind w:hanging="0" w:left="540" w:right="0"/>
    </w:pPr>
    <w:rPr/>
  </w:style>
  <w:style w:type="paragraph" w:styleId="Style13">
    <w:name w:val="正文首行缩进"/>
    <w:basedOn w:val="Normal"/>
    <w:qFormat/>
    <w:pPr>
      <w:ind w:firstLine="425" w:left="0" w:right="0"/>
      <w:textAlignment w:val="baseline"/>
    </w:pPr>
    <w:rPr>
      <w:lang w:val="zh-CN"/>
    </w:rPr>
  </w:style>
  <w:style w:type="paragraph" w:styleId="Footer">
    <w:name w:val="Footer"/>
    <w:basedOn w:val="Normal"/>
    <w:pPr>
      <w:tabs>
        <w:tab w:val="clear" w:pos="420"/>
        <w:tab w:val="center" w:pos="4153" w:leader="none"/>
        <w:tab w:val="right" w:pos="8306" w:leader="none"/>
      </w:tabs>
      <w:snapToGrid w:val="false"/>
      <w:spacing w:lineRule="atLeast" w:line="240"/>
      <w:jc w:val="left"/>
    </w:pPr>
    <w:rPr>
      <w:sz w:val="18"/>
      <w:szCs w:val="18"/>
    </w:rPr>
  </w:style>
  <w:style w:type="paragraph" w:styleId="Style14">
    <w:name w:val="表格正文"/>
    <w:basedOn w:val="Normal"/>
    <w:qFormat/>
    <w:pPr>
      <w:spacing w:before="0" w:after="0"/>
      <w:textAlignment w:val="baseline"/>
    </w:pPr>
    <w:rPr/>
  </w:style>
  <w:style w:type="paragraph" w:styleId="Style15">
    <w:name w:val="表格标题"/>
    <w:basedOn w:val="Style14"/>
    <w:next w:val="Style14"/>
    <w:qFormat/>
    <w:pPr>
      <w:jc w:val="center"/>
    </w:pPr>
    <w:rPr>
      <w:b/>
    </w:rPr>
  </w:style>
  <w:style w:type="paragraph" w:styleId="Style16">
    <w:name w:val="封面正文标题"/>
    <w:basedOn w:val="Normal"/>
    <w:qFormat/>
    <w:pPr>
      <w:spacing w:lineRule="auto" w:line="360" w:before="0" w:after="0"/>
      <w:jc w:val="center"/>
    </w:pPr>
    <w:rPr>
      <w:rFonts w:ascii="宋体;SimSun" w:hAnsi="宋体;SimSun" w:eastAsia="华文中宋"/>
      <w:kern w:val="0"/>
      <w:sz w:val="72"/>
    </w:rPr>
  </w:style>
  <w:style w:type="paragraph" w:styleId="Style17">
    <w:name w:val="普通(网站)"/>
    <w:basedOn w:val="Normal"/>
    <w:qFormat/>
    <w:pPr>
      <w:widowControl/>
      <w:spacing w:lineRule="auto" w:line="240" w:before="280" w:after="280"/>
      <w:jc w:val="left"/>
    </w:pPr>
    <w:rPr>
      <w:rFonts w:ascii="宋体;SimSun" w:hAnsi="宋体;SimSun" w:cs="宋体;SimSun"/>
      <w:kern w:val="0"/>
      <w:sz w:val="24"/>
    </w:rPr>
  </w:style>
  <w:style w:type="paragraph" w:styleId="Style18">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11">
    <w:name w:val="列出段落1"/>
    <w:basedOn w:val="Normal"/>
    <w:qFormat/>
    <w:pPr>
      <w:spacing w:lineRule="auto" w:line="240" w:before="0" w:after="0"/>
      <w:ind w:firstLine="420" w:left="0" w:right="0"/>
    </w:pPr>
    <w:rPr>
      <w:rFonts w:ascii="Calibri" w:hAnsi="Calibri" w:cs="黑体;SimHei"/>
      <w:szCs w:val="22"/>
    </w:rPr>
  </w:style>
  <w:style w:type="paragraph" w:styleId="Style19">
    <w:name w:val="正文题目"/>
    <w:basedOn w:val="Normal"/>
    <w:qFormat/>
    <w:pPr>
      <w:spacing w:lineRule="auto" w:line="360" w:before="0" w:after="0"/>
      <w:jc w:val="center"/>
    </w:pPr>
    <w:rPr>
      <w:b/>
      <w:kern w:val="0"/>
      <w:sz w:val="36"/>
    </w:rPr>
  </w:style>
  <w:style w:type="paragraph" w:styleId="Style20">
    <w:name w:val="封面项目名称"/>
    <w:basedOn w:val="Normal"/>
    <w:qFormat/>
    <w:pPr>
      <w:jc w:val="center"/>
    </w:pPr>
    <w:rPr>
      <w:rFonts w:eastAsia="华文中宋"/>
      <w:sz w:val="44"/>
    </w:rPr>
  </w:style>
  <w:style w:type="paragraph" w:styleId="Style21">
    <w:name w:val="列出段落"/>
    <w:basedOn w:val="Normal"/>
    <w:qFormat/>
    <w:pPr>
      <w:spacing w:lineRule="auto" w:line="240" w:before="0" w:after="0"/>
      <w:ind w:firstLine="420" w:left="0" w:right="0"/>
    </w:pPr>
    <w:rPr>
      <w:rFonts w:ascii="Calibri" w:hAnsi="Calibri" w:eastAsia="宋体;SimSun" w:cs="Times New Roman"/>
      <w:szCs w:val="22"/>
    </w:rPr>
  </w:style>
  <w:style w:type="paragraph" w:styleId="Style22">
    <w:name w:val="封面文档名称"/>
    <w:basedOn w:val="Style20"/>
    <w:qFormat/>
    <w:pPr/>
    <w:rPr>
      <w:sz w:val="68"/>
    </w:rPr>
  </w:style>
  <w:style w:type="paragraph" w:styleId="Style23">
    <w:name w:val="二级标题"/>
    <w:basedOn w:val="Heading2"/>
    <w:qFormat/>
    <w:pPr>
      <w:numPr>
        <w:ilvl w:val="0"/>
        <w:numId w:val="0"/>
      </w:numPr>
      <w:tabs>
        <w:tab w:val="clear" w:pos="576"/>
      </w:tabs>
      <w:spacing w:before="0" w:after="0"/>
      <w:ind w:firstLine="200" w:left="0" w:right="0"/>
      <w:jc w:val="center"/>
      <w:outlineLvl w:val="9"/>
    </w:pPr>
    <w:rPr>
      <w:rFonts w:ascii="仿宋_GB2312;仿宋" w:hAnsi="仿宋_GB2312;仿宋" w:eastAsia="仿宋_GB2312;仿宋" w:cs="华文中宋"/>
      <w:szCs w:val="28"/>
      <w:lang w:val="en-US"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信息安全管理体系文件-模板1.dot</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方明</dc:creator>
  <dc:description>请注意版本编号与文档标号更新。</dc:description>
  <cp:keywords>信息安全; ISO27001</cp:keywords>
  <dc:language>zh-CN</dc:language>
  <cp:lastModifiedBy>IAlpaca</cp:lastModifiedBy>
  <dcterms:modified xsi:type="dcterms:W3CDTF">2020-01-08T21:37:00Z</dcterms:modified>
  <cp:revision>2</cp:revision>
  <dc:subject>ISO27001</dc:subject>
  <dc:title>信息安全管理体系文件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