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t>xxx</w:t>
      </w:r>
      <w:r>
        <w:rPr>
          <w:rFonts w:ascii="Times New Roman" w:hAnsi="Times New Roman" w:cs="Times New Roman" w:eastAsia="仿宋_GB2312;仿宋"/>
          <w:b/>
          <w:sz w:val="28"/>
          <w:szCs w:val="28"/>
        </w:rPr>
        <w:t>银行</w:t>
      </w:r>
    </w:p>
    <w:p>
      <w:pPr>
        <w:pStyle w:val="Style18"/>
        <w:spacing w:lineRule="auto" w:line="240"/>
        <w:ind w:hanging="0" w:right="0"/>
        <w:rPr>
          <w:rFonts w:ascii="Times New Roman" w:hAnsi="Times New Roman" w:cs="Times New Roman"/>
        </w:rPr>
      </w:pPr>
      <w:r>
        <w:rPr>
          <w:rFonts w:ascii="Times New Roman" w:hAnsi="Times New Roman" w:cs="Times New Roman"/>
        </w:rPr>
        <w:t>外部人员重要区域访问控制管理办法</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为维护</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银行（以下简称“本行”）信息系统安全，避免重要区域遭受未授权访问，确保重要区域信息安全，依据</w:t>
      </w:r>
      <w:r>
        <w:rPr>
          <w:rFonts w:ascii="Times New Roman" w:hAnsi="Times New Roman" w:cs="Times New Roman" w:eastAsia="仿宋_GB2312;仿宋"/>
          <w:sz w:val="28"/>
          <w:szCs w:val="28"/>
        </w:rPr>
        <w:t>《中华人民共和国计算机信息系统安全保护条例》及省联社相关规定</w:t>
      </w:r>
      <w:r>
        <w:rPr>
          <w:rFonts w:ascii="Times New Roman" w:hAnsi="Times New Roman" w:cs="Times New Roman" w:eastAsia="仿宋_GB2312;仿宋"/>
          <w:sz w:val="28"/>
          <w:szCs w:val="28"/>
        </w:rPr>
        <w:t>中关于外部人员对重要区域访问控制管理的要</w:t>
      </w:r>
      <w:r>
        <w:rPr>
          <w:rFonts w:ascii="Times New Roman" w:hAnsi="Times New Roman" w:cs="Times New Roman" w:eastAsia="仿宋_GB2312;仿宋"/>
          <w:sz w:val="28"/>
          <w:szCs w:val="28"/>
        </w:rPr>
        <w:t>求，</w:t>
      </w:r>
      <w:r>
        <w:rPr>
          <w:rFonts w:ascii="Times New Roman" w:hAnsi="Times New Roman" w:cs="Times New Roman" w:eastAsia="仿宋_GB2312;仿宋"/>
          <w:sz w:val="28"/>
          <w:szCs w:val="28"/>
        </w:rPr>
        <w:t>特制订本办法。</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非本单位机房工作人员（以下简称“外部人员”）进出中心机房、设备库房、网点机房等重要区域，须按本办法进行管理。</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外部人员因工作需要进出重要区域时，需向信息科技部门提出访问申请，经信息科技部门审批同意后，由相关区域负责人员根据操作内容，确定进入人员，选择进出时间，填写《外部人员重要区域访问登记簿》，重大操作原则上应放在业务数据录入或备份之后进行，整个工作过程需有信息科技部门相关岗位的工作人员陪同进行。如遇审批领导不在，而又必须紧急处理的，需向审批领导电话报告，并准予进入，待审批领导回来后补办相关手续。</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信息科技部门相关人员需明确外部人员允许访问的区域、设备的范围，规定允许访问的时间，并做好访问登记工作。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外部人员严禁单独进入中心机房等重要区域</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确需进入的</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机房管理人员必须全程陪同，严禁从事非业务范围内的其它任何操作。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外部参观人员出入中心机房等重要区域，须由单位领导或信息科技部门负责人陪同进行参观，相关区域工作人员须做好登记备案工作。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进入机房等重要区域，相关人员应保持机房清洁、卫生，严禁在机房内进食、吸烟。严禁携带任何易燃、易爆、腐蚀性、强电磁、辐射性、流体物质等进入，避免对机房设备构成威胁。</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相关业务人员进入机房等重要区域，原则上须两人同时进出，并按规定进行相关业务操作，严禁随意对设备进行操作，严禁接触与业务无关的设备，如违规造成网络和业务系统事故的，追究操作人员的责任。</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进入机房等重要区域的外部人员在机房内完成相关工作时，须按机房相关规定认真填写机房内工作内容后方可退出。</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除已发生事故外，严禁外部人员在数据生产时间进行可能影响对外服务的变更维护操作。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中心机房等重要区域配备监控设施，未按规定进入者，如造成损失和泄密等不安全后果的，应对相关重要区域工作人员，给予严肃处理；损失后果情节严重的，由本行依照有关规定进行处理；如触犯国家有关法律、法规，移交司法机关处理。</w:t>
      </w:r>
    </w:p>
    <w:p>
      <w:pPr>
        <w:pStyle w:val="Normal"/>
        <w:spacing w:lineRule="auto" w:line="360"/>
        <w:ind w:firstLine="560" w:right="0"/>
        <w:jc w:val="both"/>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w:t>
      </w:r>
      <w:r>
        <w:rPr>
          <w:rFonts w:ascii="Times New Roman" w:hAnsi="Times New Roman" w:cs="Times New Roman" w:eastAsia="仿宋_GB2312;仿宋"/>
          <w:sz w:val="28"/>
          <w:szCs w:val="28"/>
        </w:rPr>
        <w:t>办法</w:t>
      </w:r>
      <w:r>
        <w:rPr>
          <w:rFonts w:ascii="Times New Roman" w:hAnsi="Times New Roman" w:cs="Times New Roman" w:eastAsia="仿宋_GB2312;仿宋"/>
          <w:sz w:val="28"/>
          <w:szCs w:val="28"/>
        </w:rPr>
        <w:t>由</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r>
        <w:rPr>
          <w:rFonts w:ascii="Times New Roman" w:hAnsi="Times New Roman" w:cs="Times New Roman" w:eastAsia="仿宋_GB2312;仿宋"/>
          <w:sz w:val="28"/>
          <w:szCs w:val="28"/>
        </w:rPr>
        <w:t>信息科技部</w:t>
      </w:r>
      <w:r>
        <w:rPr>
          <w:rFonts w:ascii="Times New Roman" w:hAnsi="Times New Roman" w:cs="Times New Roman" w:eastAsia="仿宋_GB2312;仿宋"/>
          <w:sz w:val="28"/>
          <w:szCs w:val="28"/>
        </w:rPr>
        <w:t>负责解释</w:t>
      </w:r>
      <w:r>
        <w:rPr>
          <w:rFonts w:ascii="Times New Roman" w:hAnsi="Times New Roman" w:cs="Times New Roman" w:eastAsia="仿宋_GB2312;仿宋"/>
          <w:sz w:val="28"/>
          <w:szCs w:val="28"/>
        </w:rPr>
        <w:t>和</w:t>
      </w:r>
      <w:r>
        <w:rPr>
          <w:rFonts w:ascii="Times New Roman" w:hAnsi="Times New Roman" w:cs="Times New Roman" w:eastAsia="仿宋_GB2312;仿宋"/>
          <w:sz w:val="28"/>
          <w:szCs w:val="28"/>
        </w:rPr>
        <w:t>修订。</w:t>
      </w:r>
    </w:p>
    <w:p>
      <w:pPr>
        <w:pStyle w:val="Normal"/>
        <w:spacing w:lineRule="atLeast" w:line="0"/>
        <w:ind w:left="60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w:t>
      </w:r>
      <w:r>
        <w:rPr>
          <w:rFonts w:ascii="Times New Roman" w:hAnsi="Times New Roman" w:cs="Times New Roman" w:eastAsia="仿宋_GB2312;仿宋"/>
          <w:sz w:val="28"/>
          <w:szCs w:val="28"/>
        </w:rPr>
        <w:t>办法</w:t>
      </w:r>
      <w:r>
        <w:rPr>
          <w:rFonts w:eastAsia="仿宋_GB2312;仿宋"/>
          <w:sz w:val="28"/>
          <w:szCs w:val="28"/>
        </w:rPr>
        <w:t>自发文之日起施行</w:t>
      </w:r>
      <w:r>
        <w:rPr>
          <w:rFonts w:ascii="Times New Roman" w:hAnsi="Times New Roman" w:cs="Times New Roman" w:eastAsia="仿宋_GB2312;仿宋"/>
          <w:sz w:val="28"/>
          <w:szCs w:val="28"/>
        </w:rPr>
        <w:t>。</w:t>
      </w:r>
    </w:p>
    <w:p>
      <w:pPr>
        <w:pStyle w:val="Normal"/>
        <w:spacing w:lineRule="atLeast" w:line="0"/>
        <w:ind w:left="60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tLeast" w:line="0"/>
        <w:ind w:left="60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tLeast" w:line="0"/>
        <w:ind w:left="60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tLeast" w:line="0"/>
        <w:ind w:left="60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tLeast" w:line="0"/>
        <w:ind w:left="60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tLeast" w:line="0"/>
        <w:ind w:left="60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tLeast" w:line="0"/>
        <w:ind w:left="60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sectPr>
          <w:type w:val="nextPage"/>
          <w:pgSz w:w="11906" w:h="16838"/>
          <w:pgMar w:left="1580" w:right="1440" w:gutter="0" w:header="0" w:top="1440" w:footer="0" w:bottom="954"/>
          <w:pgNumType w:fmt="decimal"/>
          <w:formProt w:val="false"/>
          <w:textDirection w:val="lrTb"/>
          <w:docGrid w:type="default" w:linePitch="360" w:charSpace="0"/>
        </w:sect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附件：外部人员重要区域访问登记簿</w:t>
      </w:r>
    </w:p>
    <w:p>
      <w:pPr>
        <w:pStyle w:val="Normal"/>
        <w:spacing w:lineRule="atLeast" w:line="0"/>
        <w:rPr>
          <w:rFonts w:ascii="仿宋_GB2312;仿宋" w:hAnsi="仿宋_GB2312;仿宋" w:eastAsia="仿宋_GB2312;仿宋" w:cs="宋体;SimSun"/>
          <w:b/>
          <w:sz w:val="28"/>
          <w:szCs w:val="28"/>
        </w:rPr>
      </w:pPr>
      <w:bookmarkStart w:id="0" w:name="page3"/>
      <w:bookmarkEnd w:id="0"/>
      <w:r>
        <w:rPr>
          <w:rFonts w:ascii="仿宋_GB2312;仿宋" w:hAnsi="仿宋_GB2312;仿宋" w:cs="宋体;SimSun" w:eastAsia="仿宋_GB2312;仿宋"/>
          <w:b/>
          <w:sz w:val="28"/>
          <w:szCs w:val="28"/>
        </w:rPr>
        <w:t>附件</w:t>
      </w:r>
    </w:p>
    <w:p>
      <w:pPr>
        <w:pStyle w:val="Normal"/>
        <w:spacing w:lineRule="exact" w:line="20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5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jc w:val="center"/>
        <w:rPr>
          <w:rFonts w:ascii="仿宋_GB2312;仿宋" w:hAnsi="仿宋_GB2312;仿宋" w:eastAsia="仿宋_GB2312;仿宋" w:cs="宋体;SimSun"/>
          <w:sz w:val="28"/>
          <w:szCs w:val="28"/>
        </w:rPr>
      </w:pPr>
      <w:r>
        <w:rPr>
          <w:rFonts w:ascii="仿宋_GB2312;仿宋" w:hAnsi="仿宋_GB2312;仿宋" w:cs="宋体;SimSun" w:eastAsia="仿宋_GB2312;仿宋"/>
          <w:sz w:val="28"/>
          <w:szCs w:val="28"/>
        </w:rPr>
        <w:t>外部人员重要区域访问登记簿</w:t>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375"/>
        <w:rPr>
          <w:rFonts w:ascii="Times New Roman" w:hAnsi="Times New Roman" w:eastAsia="Times New Roman" w:cs="Times New Roman"/>
        </w:rPr>
      </w:pPr>
      <w:r>
        <w:rPr>
          <w:rFonts w:eastAsia="Times New Roman" w:cs="Times New Roman" w:ascii="Times New Roman" w:hAnsi="Times New Roman"/>
        </w:rPr>
      </w:r>
    </w:p>
    <w:tbl>
      <w:tblPr>
        <w:tblW w:w="8720" w:type="dxa"/>
        <w:jc w:val="left"/>
        <w:tblInd w:w="20" w:type="dxa"/>
        <w:tblLayout w:type="fixed"/>
        <w:tblCellMar>
          <w:top w:w="0" w:type="dxa"/>
          <w:left w:w="0" w:type="dxa"/>
          <w:bottom w:w="0" w:type="dxa"/>
          <w:right w:w="0" w:type="dxa"/>
        </w:tblCellMar>
      </w:tblPr>
      <w:tblGrid>
        <w:gridCol w:w="980"/>
        <w:gridCol w:w="1420"/>
        <w:gridCol w:w="1280"/>
        <w:gridCol w:w="1340"/>
        <w:gridCol w:w="1220"/>
        <w:gridCol w:w="1300"/>
        <w:gridCol w:w="1180"/>
      </w:tblGrid>
      <w:tr>
        <w:trPr>
          <w:trHeight w:val="279" w:hRule="atLeast"/>
        </w:trPr>
        <w:tc>
          <w:tcPr>
            <w:tcW w:w="980" w:type="dxa"/>
            <w:tcBorders>
              <w:top w:val="single" w:sz="8" w:space="0" w:color="000000"/>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8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40" w:type="dxa"/>
            <w:tcBorders>
              <w:top w:val="single" w:sz="8" w:space="0" w:color="000000"/>
              <w:right w:val="single" w:sz="8" w:space="0" w:color="000000"/>
            </w:tcBorders>
            <w:vAlign w:val="bottom"/>
          </w:tcPr>
          <w:p>
            <w:pPr>
              <w:pStyle w:val="Normal"/>
              <w:spacing w:lineRule="exact" w:line="239"/>
              <w:jc w:val="center"/>
              <w:rPr>
                <w:rFonts w:ascii="宋体;SimSun" w:hAnsi="宋体;SimSun" w:cs="宋体;SimSun"/>
                <w:b/>
                <w:i/>
                <w:i/>
                <w:w w:val="99"/>
                <w:sz w:val="21"/>
              </w:rPr>
            </w:pPr>
            <w:r>
              <w:rPr>
                <w:rFonts w:ascii="宋体;SimSun" w:hAnsi="宋体;SimSun" w:cs="宋体;SimSun"/>
                <w:b/>
                <w:i/>
                <w:w w:val="99"/>
                <w:sz w:val="21"/>
              </w:rPr>
              <w:t>进出机房</w:t>
            </w:r>
          </w:p>
        </w:tc>
        <w:tc>
          <w:tcPr>
            <w:tcW w:w="122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b/>
                <w:i/>
                <w:i/>
                <w:w w:val="99"/>
                <w:sz w:val="24"/>
              </w:rPr>
            </w:pPr>
            <w:r>
              <w:rPr>
                <w:rFonts w:eastAsia="Times New Roman" w:cs="Times New Roman" w:ascii="Times New Roman" w:hAnsi="Times New Roman"/>
                <w:b/>
                <w:i/>
                <w:w w:val="99"/>
                <w:sz w:val="24"/>
              </w:rPr>
            </w:r>
          </w:p>
        </w:tc>
        <w:tc>
          <w:tcPr>
            <w:tcW w:w="130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tcBorders>
              <w:top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269" w:hRule="atLeast"/>
        </w:trPr>
        <w:tc>
          <w:tcPr>
            <w:tcW w:w="980" w:type="dxa"/>
            <w:tcBorders>
              <w:left w:val="single" w:sz="8" w:space="0" w:color="000000"/>
              <w:right w:val="single" w:sz="8" w:space="0" w:color="000000"/>
            </w:tcBorders>
            <w:vAlign w:val="bottom"/>
          </w:tcPr>
          <w:p>
            <w:pPr>
              <w:pStyle w:val="Normal"/>
              <w:spacing w:lineRule="exact" w:line="239"/>
              <w:ind w:left="280" w:right="0"/>
              <w:rPr>
                <w:rFonts w:ascii="宋体;SimSun" w:hAnsi="宋体;SimSun" w:cs="宋体;SimSun"/>
                <w:b/>
                <w:sz w:val="21"/>
              </w:rPr>
            </w:pPr>
            <w:r>
              <w:rPr>
                <w:rFonts w:ascii="宋体;SimSun" w:hAnsi="宋体;SimSun" w:cs="宋体;SimSun"/>
                <w:b/>
                <w:sz w:val="21"/>
              </w:rPr>
              <w:t>日期</w:t>
            </w:r>
          </w:p>
        </w:tc>
        <w:tc>
          <w:tcPr>
            <w:tcW w:w="1420" w:type="dxa"/>
            <w:tcBorders>
              <w:right w:val="single" w:sz="8" w:space="0" w:color="000000"/>
            </w:tcBorders>
            <w:vAlign w:val="bottom"/>
          </w:tcPr>
          <w:p>
            <w:pPr>
              <w:pStyle w:val="Normal"/>
              <w:spacing w:lineRule="exact" w:line="239"/>
              <w:ind w:left="480" w:right="0"/>
              <w:rPr>
                <w:rFonts w:ascii="宋体;SimSun" w:hAnsi="宋体;SimSun" w:cs="宋体;SimSun"/>
                <w:b/>
                <w:sz w:val="21"/>
              </w:rPr>
            </w:pPr>
            <w:r>
              <w:rPr>
                <w:rFonts w:ascii="宋体;SimSun" w:hAnsi="宋体;SimSun" w:cs="宋体;SimSun"/>
                <w:b/>
                <w:sz w:val="21"/>
              </w:rPr>
              <w:t>单位</w:t>
            </w:r>
          </w:p>
        </w:tc>
        <w:tc>
          <w:tcPr>
            <w:tcW w:w="1280" w:type="dxa"/>
            <w:tcBorders>
              <w:right w:val="single" w:sz="8" w:space="0" w:color="000000"/>
            </w:tcBorders>
            <w:vAlign w:val="bottom"/>
          </w:tcPr>
          <w:p>
            <w:pPr>
              <w:pStyle w:val="Normal"/>
              <w:spacing w:lineRule="exact" w:line="239"/>
              <w:ind w:left="200" w:right="0"/>
              <w:rPr>
                <w:rFonts w:ascii="宋体;SimSun" w:hAnsi="宋体;SimSun" w:cs="宋体;SimSun"/>
                <w:b/>
                <w:sz w:val="21"/>
              </w:rPr>
            </w:pPr>
            <w:r>
              <w:rPr>
                <w:rFonts w:ascii="宋体;SimSun" w:hAnsi="宋体;SimSun" w:cs="宋体;SimSun"/>
                <w:b/>
                <w:sz w:val="21"/>
              </w:rPr>
              <w:t>进出人员</w:t>
            </w:r>
          </w:p>
        </w:tc>
        <w:tc>
          <w:tcPr>
            <w:tcW w:w="1340" w:type="dxa"/>
            <w:tcBorders>
              <w:right w:val="single" w:sz="8" w:space="0" w:color="000000"/>
            </w:tcBorders>
            <w:vAlign w:val="bottom"/>
          </w:tcPr>
          <w:p>
            <w:pPr>
              <w:pStyle w:val="Normal"/>
              <w:snapToGrid w:val="false"/>
              <w:spacing w:lineRule="atLeast" w:line="0"/>
              <w:rPr>
                <w:rFonts w:ascii="Times New Roman" w:hAnsi="Times New Roman" w:cs="Times New Roman"/>
                <w:b/>
                <w:sz w:val="23"/>
              </w:rPr>
            </w:pPr>
            <w:r>
              <w:rPr>
                <w:rFonts w:cs="Times New Roman" w:ascii="Times New Roman" w:hAnsi="Times New Roman"/>
                <w:b/>
                <w:sz w:val="23"/>
              </w:rPr>
            </w:r>
          </w:p>
        </w:tc>
        <w:tc>
          <w:tcPr>
            <w:tcW w:w="1220" w:type="dxa"/>
            <w:tcBorders>
              <w:right w:val="single" w:sz="8" w:space="0" w:color="000000"/>
            </w:tcBorders>
            <w:vAlign w:val="bottom"/>
          </w:tcPr>
          <w:p>
            <w:pPr>
              <w:pStyle w:val="Normal"/>
              <w:spacing w:lineRule="exact" w:line="239"/>
              <w:ind w:left="180" w:right="0"/>
              <w:rPr>
                <w:rFonts w:ascii="宋体;SimSun" w:hAnsi="宋体;SimSun" w:cs="宋体;SimSun"/>
                <w:b/>
                <w:sz w:val="21"/>
              </w:rPr>
            </w:pPr>
            <w:r>
              <w:rPr>
                <w:rFonts w:ascii="宋体;SimSun" w:hAnsi="宋体;SimSun" w:cs="宋体;SimSun"/>
                <w:b/>
                <w:sz w:val="21"/>
              </w:rPr>
              <w:t>进入时间</w:t>
            </w:r>
          </w:p>
        </w:tc>
        <w:tc>
          <w:tcPr>
            <w:tcW w:w="1300" w:type="dxa"/>
            <w:tcBorders>
              <w:right w:val="single" w:sz="8" w:space="0" w:color="000000"/>
            </w:tcBorders>
            <w:vAlign w:val="bottom"/>
          </w:tcPr>
          <w:p>
            <w:pPr>
              <w:pStyle w:val="Normal"/>
              <w:spacing w:lineRule="exact" w:line="239"/>
              <w:ind w:left="200" w:right="0"/>
              <w:rPr>
                <w:rFonts w:ascii="宋体;SimSun" w:hAnsi="宋体;SimSun" w:cs="宋体;SimSun"/>
                <w:b/>
                <w:sz w:val="21"/>
              </w:rPr>
            </w:pPr>
            <w:r>
              <w:rPr>
                <w:rFonts w:ascii="宋体;SimSun" w:hAnsi="宋体;SimSun" w:cs="宋体;SimSun"/>
                <w:b/>
                <w:sz w:val="21"/>
              </w:rPr>
              <w:t>离开时间</w:t>
            </w:r>
          </w:p>
        </w:tc>
        <w:tc>
          <w:tcPr>
            <w:tcW w:w="1180" w:type="dxa"/>
            <w:tcBorders>
              <w:right w:val="single" w:sz="8" w:space="0" w:color="000000"/>
            </w:tcBorders>
            <w:vAlign w:val="bottom"/>
          </w:tcPr>
          <w:p>
            <w:pPr>
              <w:pStyle w:val="Normal"/>
              <w:spacing w:lineRule="exact" w:line="239"/>
              <w:ind w:left="260" w:right="0"/>
              <w:rPr>
                <w:rFonts w:ascii="宋体;SimSun" w:hAnsi="宋体;SimSun" w:cs="宋体;SimSun"/>
                <w:b/>
                <w:sz w:val="21"/>
              </w:rPr>
            </w:pPr>
            <w:r>
              <w:rPr>
                <w:rFonts w:ascii="宋体;SimSun" w:hAnsi="宋体;SimSun" w:cs="宋体;SimSun"/>
                <w:b/>
                <w:sz w:val="21"/>
              </w:rPr>
              <w:t>审批人</w:t>
            </w:r>
          </w:p>
        </w:tc>
      </w:tr>
      <w:tr>
        <w:trPr>
          <w:trHeight w:val="271" w:hRule="atLeast"/>
        </w:trPr>
        <w:tc>
          <w:tcPr>
            <w:tcW w:w="980" w:type="dxa"/>
            <w:tcBorders>
              <w:left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b/>
                <w:i/>
                <w:i/>
                <w:sz w:val="23"/>
              </w:rPr>
            </w:pPr>
            <w:r>
              <w:rPr>
                <w:rFonts w:eastAsia="Times New Roman" w:cs="Times New Roman" w:ascii="Times New Roman" w:hAnsi="Times New Roman"/>
                <w:b/>
                <w:i/>
                <w:sz w:val="23"/>
              </w:rPr>
            </w:r>
          </w:p>
        </w:tc>
        <w:tc>
          <w:tcPr>
            <w:tcW w:w="14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c>
          <w:tcPr>
            <w:tcW w:w="12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c>
          <w:tcPr>
            <w:tcW w:w="1340" w:type="dxa"/>
            <w:tcBorders>
              <w:right w:val="single" w:sz="8" w:space="0" w:color="000000"/>
            </w:tcBorders>
            <w:vAlign w:val="bottom"/>
          </w:tcPr>
          <w:p>
            <w:pPr>
              <w:pStyle w:val="Normal"/>
              <w:spacing w:lineRule="exact" w:line="239"/>
              <w:jc w:val="center"/>
              <w:rPr>
                <w:rFonts w:ascii="宋体;SimSun" w:hAnsi="宋体;SimSun" w:cs="宋体;SimSun"/>
                <w:b/>
                <w:w w:val="99"/>
                <w:sz w:val="21"/>
              </w:rPr>
            </w:pPr>
            <w:r>
              <w:rPr>
                <w:rFonts w:ascii="宋体;SimSun" w:hAnsi="宋体;SimSun" w:cs="宋体;SimSun"/>
                <w:b/>
                <w:w w:val="99"/>
                <w:sz w:val="21"/>
              </w:rPr>
              <w:t>事由</w:t>
            </w:r>
          </w:p>
        </w:tc>
        <w:tc>
          <w:tcPr>
            <w:tcW w:w="122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b/>
                <w:w w:val="99"/>
                <w:sz w:val="23"/>
              </w:rPr>
            </w:pPr>
            <w:r>
              <w:rPr>
                <w:rFonts w:eastAsia="Times New Roman" w:cs="Times New Roman" w:ascii="Times New Roman" w:hAnsi="Times New Roman"/>
                <w:b/>
                <w:w w:val="99"/>
                <w:sz w:val="23"/>
              </w:rPr>
            </w:r>
          </w:p>
        </w:tc>
        <w:tc>
          <w:tcPr>
            <w:tcW w:w="130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c>
          <w:tcPr>
            <w:tcW w:w="1180" w:type="dxa"/>
            <w:tcBorders>
              <w:right w:val="single" w:sz="8" w:space="0" w:color="000000"/>
            </w:tcBorders>
            <w:vAlign w:val="bottom"/>
          </w:tcPr>
          <w:p>
            <w:pPr>
              <w:pStyle w:val="Normal"/>
              <w:snapToGrid w:val="false"/>
              <w:spacing w:lineRule="atLeast" w:line="0"/>
              <w:rPr>
                <w:rFonts w:ascii="Times New Roman" w:hAnsi="Times New Roman" w:eastAsia="Times New Roman" w:cs="Times New Roman"/>
                <w:sz w:val="23"/>
              </w:rPr>
            </w:pPr>
            <w:r>
              <w:rPr>
                <w:rFonts w:eastAsia="Times New Roman" w:cs="Times New Roman" w:ascii="Times New Roman" w:hAnsi="Times New Roman"/>
                <w:sz w:val="23"/>
              </w:rPr>
            </w:r>
          </w:p>
        </w:tc>
      </w:tr>
      <w:tr>
        <w:trPr>
          <w:trHeight w:val="81" w:hRule="atLeast"/>
        </w:trPr>
        <w:tc>
          <w:tcPr>
            <w:tcW w:w="9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7"/>
              </w:rPr>
            </w:pPr>
            <w:r>
              <w:rPr>
                <w:rFonts w:eastAsia="Times New Roman" w:cs="Times New Roman" w:ascii="Times New Roman" w:hAnsi="Times New Roman"/>
                <w:sz w:val="7"/>
              </w:rPr>
            </w:r>
          </w:p>
        </w:tc>
        <w:tc>
          <w:tcPr>
            <w:tcW w:w="1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7"/>
              </w:rPr>
            </w:pPr>
            <w:r>
              <w:rPr>
                <w:rFonts w:eastAsia="Times New Roman" w:cs="Times New Roman" w:ascii="Times New Roman" w:hAnsi="Times New Roman"/>
                <w:sz w:val="7"/>
              </w:rPr>
            </w:r>
          </w:p>
        </w:tc>
        <w:tc>
          <w:tcPr>
            <w:tcW w:w="1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7"/>
              </w:rPr>
            </w:pPr>
            <w:r>
              <w:rPr>
                <w:rFonts w:eastAsia="Times New Roman" w:cs="Times New Roman" w:ascii="Times New Roman" w:hAnsi="Times New Roman"/>
                <w:sz w:val="7"/>
              </w:rPr>
            </w:r>
          </w:p>
        </w:tc>
        <w:tc>
          <w:tcPr>
            <w:tcW w:w="1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7"/>
              </w:rPr>
            </w:pPr>
            <w:r>
              <w:rPr>
                <w:rFonts w:eastAsia="Times New Roman" w:cs="Times New Roman" w:ascii="Times New Roman" w:hAnsi="Times New Roman"/>
                <w:sz w:val="7"/>
              </w:rPr>
            </w:r>
          </w:p>
        </w:tc>
        <w:tc>
          <w:tcPr>
            <w:tcW w:w="1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7"/>
              </w:rPr>
            </w:pPr>
            <w:r>
              <w:rPr>
                <w:rFonts w:eastAsia="Times New Roman" w:cs="Times New Roman" w:ascii="Times New Roman" w:hAnsi="Times New Roman"/>
                <w:sz w:val="7"/>
              </w:rPr>
            </w:r>
          </w:p>
        </w:tc>
        <w:tc>
          <w:tcPr>
            <w:tcW w:w="1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7"/>
              </w:rPr>
            </w:pPr>
            <w:r>
              <w:rPr>
                <w:rFonts w:eastAsia="Times New Roman" w:cs="Times New Roman" w:ascii="Times New Roman" w:hAnsi="Times New Roman"/>
                <w:sz w:val="7"/>
              </w:rPr>
            </w:r>
          </w:p>
        </w:tc>
        <w:tc>
          <w:tcPr>
            <w:tcW w:w="11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7"/>
              </w:rPr>
            </w:pPr>
            <w:r>
              <w:rPr>
                <w:rFonts w:eastAsia="Times New Roman" w:cs="Times New Roman" w:ascii="Times New Roman" w:hAnsi="Times New Roman"/>
                <w:sz w:val="7"/>
              </w:rPr>
            </w:r>
          </w:p>
        </w:tc>
      </w:tr>
      <w:tr>
        <w:trPr>
          <w:trHeight w:val="530" w:hRule="atLeast"/>
        </w:trPr>
        <w:tc>
          <w:tcPr>
            <w:tcW w:w="9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0" w:hRule="atLeast"/>
        </w:trPr>
        <w:tc>
          <w:tcPr>
            <w:tcW w:w="9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0" w:hRule="atLeast"/>
        </w:trPr>
        <w:tc>
          <w:tcPr>
            <w:tcW w:w="9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2" w:hRule="atLeast"/>
        </w:trPr>
        <w:tc>
          <w:tcPr>
            <w:tcW w:w="9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0" w:hRule="atLeast"/>
        </w:trPr>
        <w:tc>
          <w:tcPr>
            <w:tcW w:w="9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0" w:hRule="atLeast"/>
        </w:trPr>
        <w:tc>
          <w:tcPr>
            <w:tcW w:w="9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0" w:hRule="atLeast"/>
        </w:trPr>
        <w:tc>
          <w:tcPr>
            <w:tcW w:w="9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0" w:hRule="atLeast"/>
        </w:trPr>
        <w:tc>
          <w:tcPr>
            <w:tcW w:w="9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0" w:hRule="atLeast"/>
        </w:trPr>
        <w:tc>
          <w:tcPr>
            <w:tcW w:w="9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2" w:hRule="atLeast"/>
        </w:trPr>
        <w:tc>
          <w:tcPr>
            <w:tcW w:w="9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0" w:hRule="atLeast"/>
        </w:trPr>
        <w:tc>
          <w:tcPr>
            <w:tcW w:w="9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0" w:hRule="atLeast"/>
        </w:trPr>
        <w:tc>
          <w:tcPr>
            <w:tcW w:w="9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0" w:hRule="atLeast"/>
        </w:trPr>
        <w:tc>
          <w:tcPr>
            <w:tcW w:w="9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0" w:hRule="atLeast"/>
        </w:trPr>
        <w:tc>
          <w:tcPr>
            <w:tcW w:w="9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0" w:hRule="atLeast"/>
        </w:trPr>
        <w:tc>
          <w:tcPr>
            <w:tcW w:w="9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2" w:hRule="atLeast"/>
        </w:trPr>
        <w:tc>
          <w:tcPr>
            <w:tcW w:w="9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530" w:hRule="atLeast"/>
        </w:trPr>
        <w:tc>
          <w:tcPr>
            <w:tcW w:w="980" w:type="dxa"/>
            <w:tcBorders>
              <w:left w:val="single" w:sz="8" w:space="0" w:color="000000"/>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4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4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22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0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80" w:type="dxa"/>
            <w:tcBorders>
              <w:bottom w:val="single" w:sz="8" w:space="0" w:color="000000"/>
              <w:right w:val="single" w:sz="8" w:space="0" w:color="000000"/>
            </w:tcBorders>
            <w:vAlign w:val="bottom"/>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sectPr>
      <w:type w:val="nextPage"/>
      <w:pgSz w:w="11906" w:h="16838"/>
      <w:pgMar w:left="1580" w:right="1600" w:gutter="0" w:header="0" w:top="1440" w:footer="0" w:bottom="95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Style14">
    <w:name w:val="批注引用"/>
    <w:qFormat/>
    <w:rPr>
      <w:sz w:val="21"/>
      <w:szCs w:val="21"/>
    </w:rPr>
  </w:style>
  <w:style w:type="character" w:styleId="Char2">
    <w:name w:val="批注文字 Char"/>
    <w:basedOn w:val="Style13"/>
    <w:qFormat/>
    <w:rPr/>
  </w:style>
  <w:style w:type="character" w:styleId="Char3">
    <w:name w:val="批注主题 Char"/>
    <w:qFormat/>
    <w:rPr>
      <w:b/>
      <w:bCs/>
    </w:rPr>
  </w:style>
  <w:style w:type="character" w:styleId="Char4">
    <w:name w:val="批注框文本 Char"/>
    <w:qFormat/>
    <w:rPr>
      <w:sz w:val="18"/>
      <w:szCs w:val="18"/>
    </w:rPr>
  </w:style>
  <w:style w:type="character" w:styleId="2Char">
    <w:name w:val="标题 2 Char"/>
    <w:qFormat/>
    <w:rPr>
      <w:rFonts w:ascii="Calibri Light" w:hAnsi="Calibri Light" w:eastAsia="宋体;SimSun"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Style17">
    <w:name w:val="批注框文本"/>
    <w:basedOn w:val="Normal"/>
    <w:qFormat/>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2020-01-08T21:37:00Z</dcterms:created>
  <dc:creator>IAlpaca</dc:creator>
  <dc:description/>
  <cp:keywords/>
  <dc:language>zh-CN</dc:language>
  <cp:lastModifiedBy>IAlpaca</cp:lastModifiedBy>
  <dcterms:modified xsi:type="dcterms:W3CDTF">2020-01-08T21:37:00Z</dcterms:modified>
  <cp:revision>2</cp:revision>
  <dc:subject/>
  <dc:title/>
</cp:coreProperties>
</file>