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仿宋_GB2312;仿宋" w:cs="Times New Roman"/>
          <w:b/>
          <w:sz w:val="28"/>
          <w:szCs w:val="28"/>
        </w:rPr>
      </w:pPr>
      <w:r>
        <w:rPr>
          <w:rFonts w:eastAsia="仿宋_GB2312;仿宋" w:cs="Times New Roman" w:ascii="Times New Roman" w:hAnsi="Times New Roman"/>
          <w:b/>
          <w:sz w:val="28"/>
          <w:szCs w:val="28"/>
        </w:rPr>
        <w:t>xxx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银行</w:t>
      </w:r>
    </w:p>
    <w:p>
      <w:pPr>
        <w:pStyle w:val="Style15"/>
        <w:ind w:hanging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容量管理办法</w:t>
      </w:r>
    </w:p>
    <w:p>
      <w:pPr>
        <w:pStyle w:val="Normal"/>
        <w:spacing w:lineRule="auto" w:line="36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为加强支撑信息系统运行所依托的各类环境容量的管理，提高机房各类网络、服务器、安全、存储、空调、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等硬件设备的安全运行，强化业务系统运行的稳健性，依据省联社相关规定中关于容量管理的要求，</w:t>
      </w:r>
      <w:r>
        <w:rPr>
          <w:rFonts w:ascii="Times New Roman" w:hAnsi="Times New Roman" w:cs="Times New Roman" w:eastAsia="仿宋_GB2312;仿宋"/>
          <w:sz w:val="28"/>
          <w:szCs w:val="28"/>
        </w:rPr>
        <w:t>根据《中华人民共和国计算机信息系统安全保护条例》、《商业银行信息科技风险管理指引》</w:t>
      </w:r>
      <w:r>
        <w:rPr>
          <w:rFonts w:ascii="Times New Roman" w:hAnsi="Times New Roman" w:cs="Times New Roman" w:eastAsia="仿宋_GB2312;仿宋"/>
          <w:sz w:val="28"/>
          <w:szCs w:val="28"/>
        </w:rPr>
        <w:t>结合本行实际</w:t>
      </w:r>
      <w:r>
        <w:rPr>
          <w:rFonts w:ascii="Times New Roman" w:hAnsi="Times New Roman" w:cs="Times New Roman" w:eastAsia="仿宋_GB2312;仿宋"/>
          <w:sz w:val="28"/>
          <w:szCs w:val="28"/>
        </w:rPr>
        <w:t>，</w:t>
      </w:r>
      <w:r>
        <w:rPr>
          <w:rFonts w:ascii="Times New Roman" w:hAnsi="Times New Roman" w:cs="Times New Roman" w:eastAsia="仿宋_GB2312;仿宋"/>
          <w:sz w:val="28"/>
          <w:szCs w:val="28"/>
        </w:rPr>
        <w:t>特制定</w:t>
      </w:r>
      <w:r>
        <w:rPr>
          <w:rFonts w:eastAsia="仿宋_GB2312;仿宋" w:cs="Times New Roman" w:ascii="Times New Roman" w:hAnsi="Times New Roman"/>
          <w:sz w:val="28"/>
          <w:szCs w:val="28"/>
        </w:rPr>
        <w:t>xxx</w:t>
      </w:r>
      <w:r>
        <w:rPr>
          <w:rFonts w:ascii="Times New Roman" w:hAnsi="Times New Roman" w:cs="Times New Roman" w:eastAsia="仿宋_GB2312;仿宋"/>
          <w:sz w:val="28"/>
          <w:szCs w:val="28"/>
        </w:rPr>
        <w:t>银行（以下简称“本行”）容量管理办法。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第一条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eastAsia="仿宋_GB2312;仿宋"/>
          <w:sz w:val="28"/>
          <w:szCs w:val="28"/>
        </w:rPr>
        <w:t>容量管理的定义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容量管理指对本行机房支撑信息系统运行所依托的各类环境容量，如电力、网络带宽、存储空间、制冷量等参数进行规划、分析、调整和优化。主要是针对已确定的服务级别目标和业务需求来设计、维持相应的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IT </w:t>
      </w:r>
      <w:r>
        <w:rPr>
          <w:rFonts w:ascii="Times New Roman" w:hAnsi="Times New Roman" w:cs="Times New Roman" w:eastAsia="仿宋_GB2312;仿宋"/>
          <w:sz w:val="28"/>
          <w:szCs w:val="28"/>
        </w:rPr>
        <w:t>服务能力，从而确保实际的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IT </w:t>
      </w:r>
      <w:r>
        <w:rPr>
          <w:rFonts w:ascii="Times New Roman" w:hAnsi="Times New Roman" w:cs="Times New Roman" w:eastAsia="仿宋_GB2312;仿宋"/>
          <w:sz w:val="28"/>
          <w:szCs w:val="28"/>
        </w:rPr>
        <w:t>服务能够满足业务的要求。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第二条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eastAsia="仿宋_GB2312;仿宋"/>
          <w:sz w:val="28"/>
          <w:szCs w:val="28"/>
        </w:rPr>
        <w:t>容量管理的目的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对机房的运行设备和系统进行容量规划、分析、调整和优化，目的是消除运行隐患，及时发现资源配置瓶颈，有效提高机房设备和系统资源的利用率。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容量管理可以全面展示机房的总体容量利用情况和剩余率，并对各设备和系统的使用趋势进行客观分析，为将来的数据中心规划、机房搬迁提供基础数据支持，提高本行对机房管理和规划的能力。</w:t>
      </w:r>
      <w:bookmarkStart w:id="0" w:name="page3"/>
      <w:bookmarkEnd w:id="0"/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第三条</w:t>
      </w:r>
      <w:r>
        <w:rPr>
          <w:rFonts w:eastAsia="仿宋_GB2312;仿宋" w:cs="Times New Roman"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 w:eastAsia="仿宋_GB2312;仿宋"/>
          <w:sz w:val="28"/>
          <w:szCs w:val="28"/>
        </w:rPr>
        <w:t>容量管理的内容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（一）制定和维护设备或系统的容量监控阈值，并定期通过命令查看语句、监控系统或通过其它查看方式记录容量和冗余情况。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（二）定期将容量数据进行汇总对比和分析。完成相关统计、对比、分析后形成主机系统、应用系统、网络系统、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系统、空调系统等软硬件的使用趋势分析结论。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第四条</w:t>
      </w:r>
      <w:r>
        <w:rPr>
          <w:rFonts w:eastAsia="仿宋_GB2312;仿宋" w:cs="Times New Roman"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 w:eastAsia="仿宋_GB2312;仿宋"/>
          <w:sz w:val="28"/>
          <w:szCs w:val="28"/>
        </w:rPr>
        <w:t>容量管理的方法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（一）系统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CPU </w:t>
      </w:r>
      <w:r>
        <w:rPr>
          <w:rFonts w:ascii="Times New Roman" w:hAnsi="Times New Roman" w:cs="Times New Roman" w:eastAsia="仿宋_GB2312;仿宋"/>
          <w:sz w:val="28"/>
          <w:szCs w:val="28"/>
        </w:rPr>
        <w:t>占用。当服务对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CPU </w:t>
      </w:r>
      <w:r>
        <w:rPr>
          <w:rFonts w:ascii="Times New Roman" w:hAnsi="Times New Roman" w:cs="Times New Roman" w:eastAsia="仿宋_GB2312;仿宋"/>
          <w:sz w:val="28"/>
          <w:szCs w:val="28"/>
        </w:rPr>
        <w:t>占用率大于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>80%</w:t>
      </w:r>
      <w:r>
        <w:rPr>
          <w:rFonts w:ascii="Times New Roman" w:hAnsi="Times New Roman" w:cs="Times New Roman" w:eastAsia="仿宋_GB2312;仿宋"/>
          <w:sz w:val="28"/>
          <w:szCs w:val="28"/>
        </w:rPr>
        <w:t>时，采取有效措施降低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CPU </w:t>
      </w:r>
      <w:r>
        <w:rPr>
          <w:rFonts w:ascii="Times New Roman" w:hAnsi="Times New Roman" w:cs="Times New Roman" w:eastAsia="仿宋_GB2312;仿宋"/>
          <w:sz w:val="28"/>
          <w:szCs w:val="28"/>
        </w:rPr>
        <w:t>占用率，包括重启设备、停止占用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CPU </w:t>
      </w:r>
      <w:r>
        <w:rPr>
          <w:rFonts w:ascii="Times New Roman" w:hAnsi="Times New Roman" w:cs="Times New Roman" w:eastAsia="仿宋_GB2312;仿宋"/>
          <w:sz w:val="28"/>
          <w:szCs w:val="28"/>
        </w:rPr>
        <w:t>资源的进程、重启操作系统和数据库、硬件故障联系服务商等手段。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（二）系统硬盘空间。当服务需要使用的硬盘分区空间占用大于</w:t>
      </w:r>
      <w:r>
        <w:rPr>
          <w:rFonts w:eastAsia="仿宋_GB2312;仿宋" w:cs="Times New Roman" w:ascii="Times New Roman" w:hAnsi="Times New Roman"/>
          <w:sz w:val="28"/>
          <w:szCs w:val="28"/>
        </w:rPr>
        <w:t>75%</w:t>
      </w:r>
      <w:r>
        <w:rPr>
          <w:rFonts w:ascii="Times New Roman" w:hAnsi="Times New Roman" w:cs="Times New Roman" w:eastAsia="仿宋_GB2312;仿宋"/>
          <w:sz w:val="28"/>
          <w:szCs w:val="28"/>
        </w:rPr>
        <w:t>或少于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 w:cs="Times New Roman" w:eastAsia="仿宋_GB2312;仿宋"/>
          <w:sz w:val="28"/>
          <w:szCs w:val="28"/>
        </w:rPr>
        <w:t>天的运行存储量时，采取有效的措施释放硬盘空间，包括清理临时文件、删除不使用的软件、部分数据迁移到其他设备、申请增加存储器等手段。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（三）系统内存。当服务内存占用高于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>70%</w:t>
      </w:r>
      <w:r>
        <w:rPr>
          <w:rFonts w:ascii="Times New Roman" w:hAnsi="Times New Roman" w:cs="Times New Roman" w:eastAsia="仿宋_GB2312;仿宋"/>
          <w:sz w:val="28"/>
          <w:szCs w:val="28"/>
        </w:rPr>
        <w:t>时采取有效的措施释放内存，包括重启设备、停止占用内存资源的进程、停止部分程序运行、重启操作系统和数据库、重新安装操作系统、硬件故障联系服务商等手段。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（四）网络带宽。通过交换机或上网行为管理系统对网路带宽进行检测，当网络带宽占用超出阈值（</w:t>
      </w:r>
      <w:r>
        <w:rPr>
          <w:rFonts w:eastAsia="仿宋_GB2312;仿宋" w:cs="Times New Roman" w:ascii="Times New Roman" w:hAnsi="Times New Roman"/>
          <w:sz w:val="28"/>
          <w:szCs w:val="28"/>
        </w:rPr>
        <w:t>80%</w:t>
      </w:r>
      <w:r>
        <w:rPr>
          <w:rFonts w:ascii="Times New Roman" w:hAnsi="Times New Roman" w:cs="Times New Roman" w:eastAsia="仿宋_GB2312;仿宋"/>
          <w:sz w:val="28"/>
          <w:szCs w:val="28"/>
        </w:rPr>
        <w:t>），通知网络管理员采取有效的措施降低网络带宽占用率，包括停止部分网络服务、停止部分联网设备、重启网络设备、查找计算机病毒等手段。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4"/>
      <w:bookmarkEnd w:id="1"/>
      <w:r>
        <w:rPr>
          <w:rFonts w:ascii="Times New Roman" w:hAnsi="Times New Roman" w:cs="Times New Roman" w:eastAsia="仿宋_GB2312;仿宋"/>
          <w:sz w:val="28"/>
          <w:szCs w:val="28"/>
        </w:rPr>
        <w:t>（五）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负荷。每日巡检时监测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的负荷情况，当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的单相负荷达到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>45%</w:t>
      </w:r>
      <w:r>
        <w:rPr>
          <w:rFonts w:ascii="Times New Roman" w:hAnsi="Times New Roman" w:cs="Times New Roman" w:eastAsia="仿宋_GB2312;仿宋"/>
          <w:sz w:val="28"/>
          <w:szCs w:val="28"/>
        </w:rPr>
        <w:t>以上时产生告警，督促机房管理员检查用电情况，采取有效措施降低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负荷，包括停用部分设备、申请增加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UPS </w:t>
      </w:r>
      <w:r>
        <w:rPr>
          <w:rFonts w:ascii="Times New Roman" w:hAnsi="Times New Roman" w:cs="Times New Roman" w:eastAsia="仿宋_GB2312;仿宋"/>
          <w:sz w:val="28"/>
          <w:szCs w:val="28"/>
        </w:rPr>
        <w:t>容量等手段。</w:t>
      </w:r>
    </w:p>
    <w:p>
      <w:pPr>
        <w:pStyle w:val="Normal"/>
        <w:spacing w:lineRule="auto" w:line="360"/>
        <w:ind w:firstLine="56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仿宋_GB2312;仿宋"/>
          <w:sz w:val="28"/>
          <w:szCs w:val="28"/>
        </w:rPr>
        <w:t>（六）制冷容量。每日巡检时监测中心机房和辅助机房的温、湿度，当空调满负荷制冷但温度持续上升，达到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25 </w:t>
      </w:r>
      <w:r>
        <w:rPr>
          <w:rFonts w:ascii="Times New Roman" w:hAnsi="Times New Roman" w:cs="Times New Roman" w:eastAsia="仿宋_GB2312;仿宋"/>
          <w:sz w:val="28"/>
          <w:szCs w:val="28"/>
        </w:rPr>
        <w:t>摄氏度以上时产生告警，并在相应的容量登记簿上登记，督促机房管理员检查空调是否正常运行，采取停用部分设备、启动备用空调等措施降低环境温度。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第五条</w:t>
      </w:r>
      <w:r>
        <w:rPr>
          <w:rFonts w:eastAsia="仿宋_GB2312;仿宋" w:cs="Times New Roman" w:ascii="Times New Roman" w:hAnsi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 w:eastAsia="仿宋_GB2312;仿宋"/>
          <w:sz w:val="28"/>
          <w:szCs w:val="28"/>
        </w:rPr>
        <w:t>本办法由</w:t>
      </w:r>
      <w:r>
        <w:rPr>
          <w:rFonts w:eastAsia="仿宋_GB2312;仿宋" w:cs="Times New Roman" w:ascii="Times New Roman" w:hAnsi="Times New Roman"/>
          <w:sz w:val="28"/>
          <w:szCs w:val="28"/>
        </w:rPr>
        <w:t>xxx</w:t>
      </w:r>
      <w:r>
        <w:rPr>
          <w:rFonts w:ascii="Times New Roman" w:hAnsi="Times New Roman" w:cs="Times New Roman" w:eastAsia="仿宋_GB2312;仿宋"/>
          <w:sz w:val="28"/>
          <w:szCs w:val="28"/>
        </w:rPr>
        <w:t>银行信息科技部负责解释和修订。</w:t>
      </w:r>
    </w:p>
    <w:p>
      <w:pPr>
        <w:pStyle w:val="Normal"/>
        <w:spacing w:lineRule="auto" w:line="360"/>
        <w:ind w:firstLine="560" w:right="0"/>
        <w:jc w:val="both"/>
        <w:rPr/>
      </w:pPr>
      <w:r>
        <w:rPr>
          <w:rFonts w:ascii="Times New Roman" w:hAnsi="Times New Roman" w:cs="Times New Roman" w:eastAsia="仿宋_GB2312;仿宋"/>
          <w:sz w:val="28"/>
          <w:szCs w:val="28"/>
        </w:rPr>
        <w:t>第六条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  </w:t>
      </w:r>
      <w:r>
        <w:rPr>
          <w:rFonts w:ascii="Times New Roman" w:hAnsi="Times New Roman" w:cs="Times New Roman" w:eastAsia="仿宋_GB2312;仿宋"/>
          <w:sz w:val="28"/>
          <w:szCs w:val="28"/>
        </w:rPr>
        <w:t>本办法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ascii="Times New Roman" w:hAnsi="Times New Roman" w:cs="Times New Roman" w:eastAsia="仿宋_GB2312;仿宋"/>
          <w:sz w:val="28"/>
          <w:szCs w:val="28"/>
        </w:rPr>
        <w:t>。</w:t>
      </w:r>
    </w:p>
    <w:sectPr>
      <w:type w:val="nextPage"/>
      <w:pgSz w:w="12240" w:h="15840"/>
      <w:pgMar w:left="1580" w:right="1680" w:gutter="0" w:header="0" w:top="1440" w:footer="0" w:bottom="92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宋体;SimSun" w:cs="Arial"/>
      <w:color w:val="auto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SimSun" w:cs="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2Char">
    <w:name w:val="标题 2 Char"/>
    <w:qFormat/>
    <w:rPr>
      <w:rFonts w:ascii="Calibri Light" w:hAnsi="Calibri Light" w:eastAsia="宋体;SimSun" w:cs="Times New Roman"/>
      <w:b/>
      <w:bCs/>
      <w:sz w:val="32"/>
      <w:szCs w:val="32"/>
    </w:rPr>
  </w:style>
  <w:style w:type="character" w:styleId="Style14">
    <w:name w:val="批注引用"/>
    <w:qFormat/>
    <w:rPr>
      <w:sz w:val="21"/>
      <w:szCs w:val="21"/>
    </w:rPr>
  </w:style>
  <w:style w:type="character" w:styleId="Char2">
    <w:name w:val="批注文字 Char"/>
    <w:basedOn w:val="Style13"/>
    <w:qFormat/>
    <w:rPr/>
  </w:style>
  <w:style w:type="character" w:styleId="Char3">
    <w:name w:val="批注主题 Char"/>
    <w:qFormat/>
    <w:rPr>
      <w:b/>
      <w:bCs/>
    </w:rPr>
  </w:style>
  <w:style w:type="character" w:styleId="Char4">
    <w:name w:val="批注框文本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5">
    <w:name w:val="二级标题"/>
    <w:basedOn w:val="Heading2"/>
    <w:qFormat/>
    <w:pPr>
      <w:widowControl w:val="false"/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kern w:val="2"/>
      <w:sz w:val="28"/>
      <w:szCs w:val="28"/>
    </w:rPr>
  </w:style>
  <w:style w:type="paragraph" w:styleId="Style16">
    <w:name w:val="批注文字"/>
    <w:basedOn w:val="Normal"/>
    <w:qFormat/>
    <w:pPr/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2020-01-08T21:37:00Z</dcterms:created>
  <dc:creator>IAlpaca</dc:creator>
  <dc:description/>
  <cp:keywords/>
  <dc:language>zh-CN</dc:language>
  <cp:lastModifiedBy>IAlpaca</cp:lastModifiedBy>
  <dcterms:modified xsi:type="dcterms:W3CDTF">2020-01-08T21:37:00Z</dcterms:modified>
  <cp:revision>2</cp:revision>
  <dc:subject/>
  <dc:title/>
</cp:coreProperties>
</file>