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仿宋_GB2312;仿宋" w:hAnsi="仿宋_GB2312;仿宋" w:eastAsia="仿宋_GB2312;仿宋" w:cs="Times New Roman"/>
          <w:b/>
          <w:sz w:val="28"/>
          <w:szCs w:val="28"/>
        </w:rPr>
      </w:pPr>
      <w:r>
        <w:rPr>
          <w:rFonts w:eastAsia="仿宋_GB2312;仿宋" w:cs="Times New Roman" w:ascii="仿宋_GB2312;仿宋" w:hAnsi="仿宋_GB2312;仿宋"/>
          <w:b/>
          <w:sz w:val="28"/>
          <w:szCs w:val="28"/>
          <w:lang w:val="en-US" w:eastAsia="zh-CN"/>
        </w:rPr>
        <w:t>XXX</w:t>
      </w:r>
      <w:r>
        <w:rPr>
          <w:rFonts w:ascii="仿宋_GB2312;仿宋" w:hAnsi="仿宋_GB2312;仿宋" w:cs="Times New Roman" w:eastAsia="仿宋_GB2312;仿宋"/>
          <w:b/>
          <w:sz w:val="28"/>
          <w:szCs w:val="28"/>
        </w:rPr>
        <w:t>商业银行股份有限公司</w:t>
      </w:r>
    </w:p>
    <w:p>
      <w:pPr>
        <w:pStyle w:val="Style17"/>
        <w:ind w:hanging="0" w:right="0"/>
        <w:rPr/>
      </w:pPr>
      <w:r>
        <w:rPr/>
        <w:t>类存单质押贷款管理办法</w:t>
      </w:r>
    </w:p>
    <w:p>
      <w:pPr>
        <w:pStyle w:val="Normal"/>
        <w:widowControl w:val="false"/>
        <w:spacing w:lineRule="auto" w:line="360" w:before="120" w:after="0"/>
        <w:jc w:val="center"/>
        <w:rPr>
          <w:rFonts w:ascii="仿宋_GB2312;仿宋" w:hAnsi="仿宋_GB2312;仿宋" w:eastAsia="仿宋_GB2312;仿宋" w:cs="Times New Roman"/>
          <w:b/>
          <w:kern w:val="2"/>
          <w:sz w:val="28"/>
          <w:szCs w:val="28"/>
        </w:rPr>
      </w:pPr>
      <w:r>
        <w:rPr>
          <w:rFonts w:ascii="仿宋_GB2312;仿宋" w:hAnsi="仿宋_GB2312;仿宋" w:cs="Times New Roman" w:eastAsia="仿宋_GB2312;仿宋"/>
          <w:b/>
          <w:kern w:val="2"/>
          <w:sz w:val="28"/>
          <w:szCs w:val="28"/>
        </w:rPr>
        <w:t>第一章  总则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第一条  为实现本行客户分类营销和管理，更好地服务优质客户，根据《个人贷款管理暂行办法》，以及本行《个人贷款管理实施细则》、《个人信用贷款管理办法》规定，特制定本办法。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第二条  本办法所称类存单质押贷款是向本行定期储蓄存款客户发放的，用于短期融资、无需提供担保的人民币贷款。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第三条  本办法所称贷款人是指本行所辖支行、营业部、小微业务部、公司业务部（以下简称“经办行”）。</w:t>
      </w:r>
    </w:p>
    <w:p>
      <w:pPr>
        <w:pStyle w:val="Normal"/>
        <w:widowControl w:val="false"/>
        <w:spacing w:lineRule="auto" w:line="360" w:before="120" w:after="0"/>
        <w:jc w:val="center"/>
        <w:rPr>
          <w:rFonts w:ascii="仿宋_GB2312;仿宋" w:hAnsi="仿宋_GB2312;仿宋" w:eastAsia="仿宋_GB2312;仿宋" w:cs="Times New Roman"/>
          <w:b/>
          <w:kern w:val="2"/>
          <w:sz w:val="28"/>
          <w:szCs w:val="28"/>
        </w:rPr>
      </w:pPr>
      <w:r>
        <w:rPr>
          <w:rFonts w:ascii="仿宋_GB2312;仿宋" w:hAnsi="仿宋_GB2312;仿宋" w:cs="Times New Roman" w:eastAsia="仿宋_GB2312;仿宋"/>
          <w:b/>
          <w:kern w:val="2"/>
          <w:sz w:val="28"/>
          <w:szCs w:val="28"/>
        </w:rPr>
        <w:t>第二章  组织管理体系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第四条  经办行负责对类存单质押贷款业务的受理以及贷款“三查”的具体实施。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第五条  授信评审部负责对类存单质押贷款业务的授信管理。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第六条  三农业务部负责类存单质押贷款业务的宣传策划、营销推动及日常督查管理。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第七条  信贷管理部负责拟定类存单质押贷款管理办法，对类存单质押贷款业务的用信管理和贷后检查管理的监督。</w:t>
      </w:r>
      <w:bookmarkStart w:id="0" w:name="page3"/>
      <w:bookmarkEnd w:id="0"/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第八条  运营管理部根据权限负责对类存单质押贷款放款进行审查。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第九条  计划财务部负责制定利率定价办法，并且对利率执行进行监督检查。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第十条  科技信息部负责对类存单质押贷款客户的数据采集、归并，并提供技术支撑。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第十一条  资产保全部负责对不良贷款清收保全及相关管理。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 xml:space="preserve">第十二条 </w:t>
      </w:r>
      <w:r>
        <w:rPr>
          <w:rFonts w:ascii="仿宋_GB2312;仿宋" w:hAnsi="仿宋_GB2312;仿宋" w:cs="Times New Roman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Times New Roman" w:eastAsia="仿宋_GB2312;仿宋"/>
          <w:sz w:val="28"/>
          <w:szCs w:val="28"/>
        </w:rPr>
        <w:t>风险管理部负责对类存单质押贷款风险的监测、识别、评估、控制，并向经营管理层进行风险报告。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第十三条  合规管理部负责审核类存单质押贷款办法及流程的合规性和有效性。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第十四条  审计部负责对类存单质押贷款进行审计稽核和监督。</w:t>
      </w:r>
    </w:p>
    <w:p>
      <w:pPr>
        <w:pStyle w:val="Normal"/>
        <w:widowControl w:val="false"/>
        <w:spacing w:lineRule="auto" w:line="360" w:before="120" w:after="0"/>
        <w:jc w:val="center"/>
        <w:rPr>
          <w:rFonts w:ascii="仿宋_GB2312;仿宋" w:hAnsi="仿宋_GB2312;仿宋" w:eastAsia="仿宋_GB2312;仿宋" w:cs="Times New Roman"/>
          <w:b/>
          <w:kern w:val="2"/>
          <w:sz w:val="28"/>
          <w:szCs w:val="28"/>
        </w:rPr>
      </w:pPr>
      <w:r>
        <w:rPr>
          <w:rFonts w:ascii="仿宋_GB2312;仿宋" w:hAnsi="仿宋_GB2312;仿宋" w:cs="Times New Roman" w:eastAsia="仿宋_GB2312;仿宋"/>
          <w:b/>
          <w:kern w:val="2"/>
          <w:sz w:val="28"/>
          <w:szCs w:val="28"/>
        </w:rPr>
        <w:t>第三章  贷款对象、条件、额度等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第十五条  申请类存单质押贷款的客户为具有完全民事行为能力的自然人，且借款人年龄加上贷款期限不超过</w:t>
      </w:r>
      <w:r>
        <w:rPr>
          <w:rFonts w:eastAsia="仿宋_GB2312;仿宋" w:cs="Times New Roman" w:ascii="仿宋_GB2312;仿宋" w:hAnsi="仿宋_GB2312;仿宋"/>
          <w:sz w:val="28"/>
          <w:szCs w:val="28"/>
        </w:rPr>
        <w:t>65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周岁。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第十六条  申请类存单质押贷款的客户应符合下列条件：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（一）资信等级评估为良好以上；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（二）近</w:t>
      </w:r>
      <w:r>
        <w:rPr>
          <w:rFonts w:eastAsia="仿宋_GB2312;仿宋" w:cs="Times New Roman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年内无借款、担保以及经济纠纷未解决等重大不良信用记录；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（三）本人及其配偶持有本行定期一年及以上期限的储蓄存款；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（四）持有本行借记卡或易贷通卡，并注册开通本行手机银行；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（五）本行规定的其他条件。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bookmarkStart w:id="1" w:name="page4"/>
      <w:bookmarkEnd w:id="1"/>
      <w:r>
        <w:rPr>
          <w:rFonts w:ascii="仿宋_GB2312;仿宋" w:hAnsi="仿宋_GB2312;仿宋" w:cs="Times New Roman" w:eastAsia="仿宋_GB2312;仿宋"/>
          <w:sz w:val="28"/>
          <w:szCs w:val="28"/>
        </w:rPr>
        <w:t>第十七条  额度确定。根据借款人及其配偶在本行定期一年及以上期限的储蓄存款总额的</w:t>
      </w:r>
      <w:r>
        <w:rPr>
          <w:rFonts w:eastAsia="仿宋_GB2312;仿宋" w:cs="Times New Roman" w:ascii="仿宋_GB2312;仿宋" w:hAnsi="仿宋_GB2312;仿宋"/>
          <w:sz w:val="28"/>
          <w:szCs w:val="28"/>
        </w:rPr>
        <w:t>80%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和借款人前</w:t>
      </w:r>
      <w:r>
        <w:rPr>
          <w:rFonts w:eastAsia="仿宋_GB2312;仿宋" w:cs="Times New Roman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年总存款日平的</w:t>
      </w:r>
      <w:r>
        <w:rPr>
          <w:rFonts w:eastAsia="仿宋_GB2312;仿宋" w:cs="Times New Roman" w:ascii="仿宋_GB2312;仿宋" w:hAnsi="仿宋_GB2312;仿宋"/>
          <w:sz w:val="28"/>
          <w:szCs w:val="28"/>
        </w:rPr>
        <w:t>20%</w:t>
      </w:r>
      <w:r>
        <w:rPr>
          <w:rFonts w:ascii="仿宋_GB2312;仿宋" w:hAnsi="仿宋_GB2312;仿宋" w:cs="Times New Roman" w:eastAsia="仿宋_GB2312;仿宋"/>
          <w:sz w:val="28"/>
          <w:szCs w:val="28"/>
        </w:rPr>
        <w:t>综合计算，或按借款人及其配偶在本行定期一年及以上期限的储蓄存款总额的</w:t>
      </w:r>
      <w:r>
        <w:rPr>
          <w:rFonts w:eastAsia="仿宋_GB2312;仿宋" w:cs="Times New Roman" w:ascii="仿宋_GB2312;仿宋" w:hAnsi="仿宋_GB2312;仿宋"/>
          <w:sz w:val="28"/>
          <w:szCs w:val="28"/>
        </w:rPr>
        <w:t>90%</w:t>
      </w:r>
      <w:r>
        <w:rPr>
          <w:rFonts w:ascii="仿宋_GB2312;仿宋" w:hAnsi="仿宋_GB2312;仿宋" w:cs="Times New Roman" w:eastAsia="仿宋_GB2312;仿宋"/>
          <w:sz w:val="28"/>
          <w:szCs w:val="28"/>
        </w:rPr>
        <w:t>计算，两项指标值按就高原则给予借款人一定的贷款信用额度，单户最高限额一般不超过</w:t>
      </w:r>
      <w:r>
        <w:rPr>
          <w:rFonts w:eastAsia="仿宋_GB2312;仿宋" w:cs="Times New Roman" w:ascii="仿宋_GB2312;仿宋" w:hAnsi="仿宋_GB2312;仿宋"/>
          <w:sz w:val="28"/>
          <w:szCs w:val="28"/>
        </w:rPr>
        <w:t>10</w:t>
      </w:r>
      <w:r>
        <w:rPr>
          <w:rFonts w:ascii="仿宋_GB2312;仿宋" w:hAnsi="仿宋_GB2312;仿宋" w:cs="Times New Roman" w:eastAsia="仿宋_GB2312;仿宋"/>
          <w:sz w:val="28"/>
          <w:szCs w:val="28"/>
        </w:rPr>
        <w:t>万元。信用额度可每年调整一次。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第十八条  类存单质押贷款信用额度授信期限最长</w:t>
      </w:r>
      <w:r>
        <w:rPr>
          <w:rFonts w:eastAsia="仿宋_GB2312;仿宋" w:cs="Times New Roman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年，期限内可根据借款人意愿，实行单笔或循环周转使用，采取按季（月）结息，到期一次性还本还息的还款方式。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第十九条  贷款利率。按本行利率定价办法执行。</w:t>
      </w:r>
    </w:p>
    <w:p>
      <w:pPr>
        <w:pStyle w:val="Normal"/>
        <w:widowControl w:val="false"/>
        <w:spacing w:lineRule="auto" w:line="360" w:before="120" w:after="0"/>
        <w:jc w:val="center"/>
        <w:rPr>
          <w:rFonts w:ascii="仿宋_GB2312;仿宋" w:hAnsi="仿宋_GB2312;仿宋" w:eastAsia="仿宋_GB2312;仿宋" w:cs="Times New Roman"/>
          <w:b/>
          <w:kern w:val="2"/>
          <w:sz w:val="28"/>
          <w:szCs w:val="28"/>
        </w:rPr>
      </w:pPr>
      <w:r>
        <w:rPr>
          <w:rFonts w:ascii="仿宋_GB2312;仿宋" w:hAnsi="仿宋_GB2312;仿宋" w:cs="Times New Roman" w:eastAsia="仿宋_GB2312;仿宋"/>
          <w:b/>
          <w:kern w:val="2"/>
          <w:sz w:val="28"/>
          <w:szCs w:val="28"/>
        </w:rPr>
        <w:t>第四章  其他规定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第二十条  类存单质押贷款信用额度授信实行内部统一授信方式。每年年初，各经办行根据本单位业务系统生成的内部数据，结合借款人资信状况、信用记录、定期一年及以上期限储蓄存款总额等指标，综合确定拟授信客户当年信用额度，并及时上报授信评审部审查审批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第二十一条  对同一家庭，类存单质押贷款与存单质押贷款不得同时存在，已办理类存单质押贷款不得申请存单质押贷款，已办理存单质押贷款也不得申请类存单质押贷款。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第二十二条  用信申请。申请人向本行申请类存单质押贷款时，应提供以下资料的原件和已核原件的复印件：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借款人身份证、户口簿；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借款人在本行定期一年及以上期限的储蓄存单；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bookmarkStart w:id="2" w:name="page5"/>
      <w:bookmarkEnd w:id="2"/>
      <w:r>
        <w:rPr>
          <w:rFonts w:eastAsia="仿宋_GB2312;仿宋" w:cs="Times New Roman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借款人本人签署的征信授权书；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4.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本行要求提供的其他资料。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第二十三条  合同签订。借款人如采取单笔借款的，直接签订个人信用贷款借款合同；如采取周转使用的，需明确一名家庭主要成员（配偶或成年子女）为保证人，并签订最高额保证担保借款合同，共同承担贷款本息按期偿还责任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第二十四条  借款人须办理意外伤害保险，且明确本行为第一受益人，保险金额须覆盖贷款本金及预计利息。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第二十五条  类存单质押贷款不得办理展期。贷款存续期内，借款人出现影响贷款按期收回的不利因素时，应及时协商处置或诉讼保全。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第二十六条  类存单质押贷款日常管理参照本行《个人贷款管理实施细则》执行。采用本行电子银行渠道自助放款的，按相关协议要求执行。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第二十七条  有下列情形之一时，仍按《商业银行股份有限公司个人定期存单质押贷款管理办法及流程》执行。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年龄超过</w:t>
      </w:r>
      <w:r>
        <w:rPr>
          <w:rFonts w:eastAsia="仿宋_GB2312;仿宋" w:cs="Times New Roman" w:ascii="仿宋_GB2312;仿宋" w:hAnsi="仿宋_GB2312;仿宋"/>
          <w:sz w:val="28"/>
          <w:szCs w:val="28"/>
        </w:rPr>
        <w:t>65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周岁的；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申请贷款额度超过</w:t>
      </w:r>
      <w:r>
        <w:rPr>
          <w:rFonts w:eastAsia="仿宋_GB2312;仿宋" w:cs="Times New Roman" w:ascii="仿宋_GB2312;仿宋" w:hAnsi="仿宋_GB2312;仿宋"/>
          <w:sz w:val="28"/>
          <w:szCs w:val="28"/>
        </w:rPr>
        <w:t>10</w:t>
      </w:r>
      <w:r>
        <w:rPr>
          <w:rFonts w:ascii="仿宋_GB2312;仿宋" w:hAnsi="仿宋_GB2312;仿宋" w:cs="Times New Roman" w:eastAsia="仿宋_GB2312;仿宋"/>
          <w:sz w:val="28"/>
          <w:szCs w:val="28"/>
        </w:rPr>
        <w:t>万元的；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以借款人及其配偶以外的第三人储蓄存单质押的；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eastAsia="仿宋_GB2312;仿宋" w:cs="Times New Roman" w:ascii="仿宋_GB2312;仿宋" w:hAnsi="仿宋_GB2312;仿宋"/>
          <w:sz w:val="28"/>
          <w:szCs w:val="28"/>
        </w:rPr>
        <w:t>4.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其他原因申请办理存单质押的。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第二十八条  对在本行无定期储蓄存款但近</w:t>
      </w:r>
      <w:r>
        <w:rPr>
          <w:rFonts w:eastAsia="仿宋_GB2312;仿宋" w:cs="Times New Roman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cs="Times New Roman" w:eastAsia="仿宋_GB2312;仿宋"/>
          <w:sz w:val="28"/>
          <w:szCs w:val="28"/>
        </w:rPr>
        <w:t>年保持一定存款日平的客户，可结合客户经济实力，按《商业银行股份有限公司个人信用贷款管理办法》执行。</w:t>
      </w:r>
    </w:p>
    <w:p>
      <w:pPr>
        <w:pStyle w:val="Normal"/>
        <w:widowControl w:val="false"/>
        <w:spacing w:lineRule="auto" w:line="360" w:before="120" w:after="0"/>
        <w:jc w:val="center"/>
        <w:rPr>
          <w:rFonts w:ascii="仿宋_GB2312;仿宋" w:hAnsi="仿宋_GB2312;仿宋" w:eastAsia="仿宋_GB2312;仿宋" w:cs="Times New Roman"/>
          <w:b/>
          <w:kern w:val="2"/>
          <w:sz w:val="28"/>
          <w:szCs w:val="28"/>
        </w:rPr>
      </w:pPr>
      <w:r>
        <w:rPr>
          <w:rFonts w:ascii="仿宋_GB2312;仿宋" w:hAnsi="仿宋_GB2312;仿宋" w:cs="Times New Roman" w:eastAsia="仿宋_GB2312;仿宋"/>
          <w:b/>
          <w:kern w:val="2"/>
          <w:sz w:val="28"/>
          <w:szCs w:val="28"/>
        </w:rPr>
        <w:t>第五章  附则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 xml:space="preserve">第二十九条 </w:t>
      </w:r>
      <w:r>
        <w:rPr>
          <w:rFonts w:ascii="仿宋_GB2312;仿宋" w:hAnsi="仿宋_GB2312;仿宋" w:cs="Times New Roman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Times New Roman" w:eastAsia="仿宋_GB2312;仿宋"/>
          <w:sz w:val="28"/>
          <w:szCs w:val="28"/>
        </w:rPr>
        <w:t>业务经办人员必须严格遵守本行《贷款业务尽职管理办法》办理类存单质押贷款业务。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第三十条  本办法未尽事宜，参照本行相关信贷制度及规定执行，如与国家法律、法规及相关规定不一致的地方，以国家法律、法规及相关规定为准。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第三十一条  本办法由信贷管理部负责制订、修改和解释。</w:t>
      </w:r>
    </w:p>
    <w:p>
      <w:pPr>
        <w:pStyle w:val="Normal"/>
        <w:spacing w:lineRule="auto" w:line="360"/>
        <w:ind w:firstLine="560" w:right="0"/>
        <w:jc w:val="both"/>
        <w:rPr>
          <w:rFonts w:ascii="仿宋_GB2312;仿宋" w:hAnsi="仿宋_GB2312;仿宋" w:eastAsia="仿宋_GB2312;仿宋" w:cs="Times New Roman"/>
          <w:sz w:val="28"/>
          <w:szCs w:val="28"/>
        </w:rPr>
      </w:pPr>
      <w:r>
        <w:rPr>
          <w:rFonts w:ascii="仿宋_GB2312;仿宋" w:hAnsi="仿宋_GB2312;仿宋" w:cs="Times New Roman" w:eastAsia="仿宋_GB2312;仿宋"/>
          <w:sz w:val="28"/>
          <w:szCs w:val="28"/>
        </w:rPr>
        <w:t>第三十二条  本办法自公布之日起执行。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宋体" w:cs="Arial"/>
      <w:color w:val="auto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CharChar">
    <w:name w:val=" Char Char"/>
    <w:qFormat/>
    <w:rPr>
      <w:sz w:val="18"/>
      <w:szCs w:val="18"/>
    </w:rPr>
  </w:style>
  <w:style w:type="character" w:styleId="CharChar2">
    <w:name w:val=" Char Char2"/>
    <w:qFormat/>
    <w:rPr>
      <w:rFonts w:ascii="Calibri Light" w:hAnsi="Calibri Light" w:eastAsia="宋体" w:cs="Times New Roman"/>
      <w:b/>
      <w:bCs/>
      <w:sz w:val="32"/>
      <w:szCs w:val="32"/>
    </w:rPr>
  </w:style>
  <w:style w:type="character" w:styleId="Style14">
    <w:name w:val="批注引用"/>
    <w:qFormat/>
    <w:rPr>
      <w:sz w:val="21"/>
      <w:szCs w:val="21"/>
    </w:rPr>
  </w:style>
  <w:style w:type="character" w:styleId="CharChar1">
    <w:name w:val=" Char Char1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文字"/>
    <w:basedOn w:val="Normal"/>
    <w:qFormat/>
    <w:pPr/>
    <w:rPr/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二级标题"/>
    <w:basedOn w:val="Heading2"/>
    <w:qFormat/>
    <w:pPr>
      <w:widowControl w:val="false"/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kern w:val="2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2017-03-24T15:13:00Z</dcterms:created>
  <dc:creator>天天向上may</dc:creator>
  <dc:description/>
  <dc:language>zh-CN</dc:language>
  <cp:lastModifiedBy>天天向上may</cp:lastModifiedBy>
  <dcterms:modified xsi:type="dcterms:W3CDTF">2020-01-10T11:28:55Z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