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numPr>
          <w:ilvl w:val="0"/>
          <w:numId w:val="0"/>
        </w:numPr>
        <w:jc w:val="center"/>
        <w:outlineLvl w:val="1"/>
        <w:rPr>
          <w:rFonts w:ascii="仿宋_GB2312;仿宋" w:hAnsi="仿宋_GB2312;仿宋" w:eastAsia="仿宋_GB2312;仿宋"/>
          <w:b/>
          <w:sz w:val="28"/>
          <w:szCs w:val="28"/>
        </w:rPr>
      </w:pPr>
      <w:r>
        <w:rPr>
          <w:rFonts w:ascii="仿宋_GB2312;仿宋" w:hAnsi="仿宋_GB2312;仿宋" w:eastAsia="仿宋_GB2312;仿宋"/>
          <w:b/>
          <w:sz w:val="28"/>
          <w:szCs w:val="28"/>
        </w:rPr>
        <w:t>集团客户授信管理办法</w:t>
      </w:r>
    </w:p>
    <w:p>
      <w:pPr>
        <w:pStyle w:val="Normal"/>
        <w:spacing w:lineRule="auto" w:line="360"/>
        <w:jc w:val="center"/>
        <w:rPr>
          <w:b/>
          <w:sz w:val="28"/>
          <w:szCs w:val="28"/>
        </w:rPr>
      </w:pPr>
      <w:r>
        <w:rPr>
          <w:rFonts w:eastAsia="仿宋_GB2312;仿宋"/>
          <w:b/>
          <w:sz w:val="28"/>
          <w:szCs w:val="28"/>
        </w:rPr>
        <w:t>第一章</w:t>
      </w:r>
      <w:r>
        <w:rPr>
          <w:rFonts w:eastAsia="Times New Roman"/>
          <w:b/>
          <w:sz w:val="28"/>
          <w:szCs w:val="28"/>
        </w:rPr>
        <w:t xml:space="preserve">  </w:t>
      </w:r>
      <w:r>
        <w:rPr>
          <w:rFonts w:eastAsia="仿宋_GB2312;仿宋"/>
          <w:b/>
          <w:sz w:val="28"/>
          <w:szCs w:val="28"/>
        </w:rPr>
        <w:t>总则</w:t>
      </w:r>
    </w:p>
    <w:p>
      <w:pPr>
        <w:pStyle w:val="Normal"/>
        <w:spacing w:lineRule="auto" w:line="360"/>
        <w:ind w:firstLine="528" w:right="0"/>
        <w:rPr/>
      </w:pPr>
      <w:r>
        <w:rPr>
          <w:rFonts w:eastAsia="仿宋_GB2312;仿宋"/>
          <w:bCs/>
          <w:sz w:val="28"/>
          <w:szCs w:val="28"/>
        </w:rPr>
        <w:t>第一条</w:t>
      </w:r>
      <w:r>
        <w:rPr>
          <w:rFonts w:eastAsia="Times New Roman"/>
          <w:bCs/>
          <w:sz w:val="28"/>
          <w:szCs w:val="28"/>
        </w:rPr>
        <w:t xml:space="preserve"> </w:t>
      </w:r>
      <w:r>
        <w:rPr>
          <w:rFonts w:eastAsia="Times New Roman"/>
          <w:bCs/>
          <w:sz w:val="28"/>
          <w:szCs w:val="28"/>
        </w:rPr>
        <w:t xml:space="preserve"> </w:t>
      </w:r>
      <w:r>
        <w:rPr>
          <w:rFonts w:eastAsia="仿宋_GB2312;仿宋"/>
          <w:bCs/>
          <w:sz w:val="28"/>
          <w:szCs w:val="28"/>
        </w:rPr>
        <w:t>为进一步加强本行集团客户的授信风险管理，根据《商业银行集团客户授信业务风险管理指引》等法律法规及本行相关信贷管理制度，制订本办法。</w:t>
      </w:r>
    </w:p>
    <w:p>
      <w:pPr>
        <w:pStyle w:val="Normal"/>
        <w:spacing w:lineRule="auto" w:line="360"/>
        <w:ind w:firstLine="528" w:right="0"/>
        <w:rPr/>
      </w:pPr>
      <w:r>
        <w:rPr>
          <w:rFonts w:eastAsia="仿宋_GB2312;仿宋"/>
          <w:bCs/>
          <w:sz w:val="28"/>
          <w:szCs w:val="28"/>
        </w:rPr>
        <w:t>第二条</w:t>
      </w:r>
      <w:r>
        <w:rPr>
          <w:rFonts w:eastAsia="Times New Roman"/>
          <w:bCs/>
          <w:sz w:val="28"/>
          <w:szCs w:val="28"/>
        </w:rPr>
        <w:t xml:space="preserve"> </w:t>
      </w:r>
      <w:r>
        <w:rPr>
          <w:rFonts w:eastAsia="Times New Roman"/>
          <w:bCs/>
          <w:sz w:val="28"/>
          <w:szCs w:val="28"/>
        </w:rPr>
        <w:t xml:space="preserve"> </w:t>
      </w:r>
      <w:r>
        <w:rPr>
          <w:rFonts w:eastAsia="仿宋_GB2312;仿宋"/>
          <w:bCs/>
          <w:sz w:val="28"/>
          <w:szCs w:val="28"/>
        </w:rPr>
        <w:t>本办法所称集团客户（包括关联客户）是指具有以下特征的企事业法人客户：</w:t>
      </w:r>
    </w:p>
    <w:p>
      <w:pPr>
        <w:pStyle w:val="Normal"/>
        <w:widowControl/>
        <w:spacing w:lineRule="auto" w:line="360"/>
        <w:ind w:firstLine="528" w:right="0"/>
        <w:jc w:val="left"/>
        <w:rPr>
          <w:rFonts w:eastAsia="仿宋_GB2312;仿宋"/>
          <w:kern w:val="0"/>
          <w:sz w:val="28"/>
          <w:szCs w:val="28"/>
        </w:rPr>
      </w:pPr>
      <w:r>
        <w:rPr>
          <w:rFonts w:eastAsia="仿宋_GB2312;仿宋"/>
          <w:kern w:val="0"/>
          <w:sz w:val="28"/>
          <w:szCs w:val="28"/>
        </w:rPr>
        <w:t>（一）在股权上或者经营决策上直接或间接控制其他企事业法人或被其他企事业法人控制的。</w:t>
      </w:r>
    </w:p>
    <w:p>
      <w:pPr>
        <w:pStyle w:val="Normal"/>
        <w:widowControl/>
        <w:spacing w:lineRule="auto" w:line="360"/>
        <w:ind w:firstLine="528" w:right="0"/>
        <w:jc w:val="left"/>
        <w:rPr>
          <w:rFonts w:eastAsia="仿宋_GB2312;仿宋"/>
          <w:kern w:val="0"/>
          <w:sz w:val="28"/>
          <w:szCs w:val="28"/>
        </w:rPr>
      </w:pPr>
      <w:r>
        <w:rPr>
          <w:rFonts w:eastAsia="仿宋_GB2312;仿宋"/>
          <w:kern w:val="0"/>
          <w:sz w:val="28"/>
          <w:szCs w:val="28"/>
        </w:rPr>
        <w:t>（二）共同被第三方企事业法人所控制的。</w:t>
      </w:r>
    </w:p>
    <w:p>
      <w:pPr>
        <w:pStyle w:val="Normal"/>
        <w:widowControl/>
        <w:spacing w:lineRule="auto" w:line="360"/>
        <w:ind w:firstLine="528" w:right="0"/>
        <w:jc w:val="left"/>
        <w:rPr/>
      </w:pPr>
      <w:r>
        <w:rPr>
          <w:rFonts w:eastAsia="仿宋_GB2312;仿宋"/>
          <w:kern w:val="0"/>
          <w:sz w:val="28"/>
          <w:szCs w:val="28"/>
        </w:rPr>
        <w:t>（三）主要投资者个人、关键管理人员或与其近亲属（包括三代以内直系亲属关系和二代以内旁系亲属关系）共同直接控制或间接控制的。</w:t>
      </w:r>
    </w:p>
    <w:p>
      <w:pPr>
        <w:pStyle w:val="BodyTextIndent"/>
        <w:spacing w:lineRule="auto" w:line="360"/>
        <w:ind w:firstLine="528" w:right="0"/>
        <w:rPr/>
      </w:pPr>
      <w:r>
        <w:rPr>
          <w:rFonts w:ascii="Times New Roman" w:hAnsi="Times New Roman" w:eastAsia="仿宋_GB2312;仿宋"/>
          <w:kern w:val="0"/>
          <w:sz w:val="28"/>
          <w:szCs w:val="28"/>
        </w:rPr>
        <w:t>（四）存在其他关联关系，可能不按公允价格原则转移资产和利润，本行认为应当视同集团客户进行授信管理的。</w:t>
      </w:r>
    </w:p>
    <w:p>
      <w:pPr>
        <w:pStyle w:val="Normal"/>
        <w:spacing w:lineRule="auto" w:line="360"/>
        <w:ind w:firstLine="528" w:right="0"/>
        <w:rPr/>
      </w:pPr>
      <w:r>
        <w:rPr>
          <w:rFonts w:eastAsia="仿宋_GB2312;仿宋"/>
          <w:bCs/>
          <w:sz w:val="28"/>
          <w:szCs w:val="28"/>
        </w:rPr>
        <w:t>第三条</w:t>
      </w:r>
      <w:r>
        <w:rPr>
          <w:rFonts w:eastAsia="Times New Roman"/>
          <w:bCs/>
          <w:sz w:val="28"/>
          <w:szCs w:val="28"/>
        </w:rPr>
        <w:t xml:space="preserve">  </w:t>
      </w:r>
      <w:r>
        <w:rPr>
          <w:rFonts w:eastAsia="仿宋_GB2312;仿宋"/>
          <w:sz w:val="28"/>
          <w:szCs w:val="28"/>
        </w:rPr>
        <w:t>本办法所称授信业务包括：贷款、拆借、票据承兑和贴现等。</w:t>
      </w:r>
    </w:p>
    <w:p>
      <w:pPr>
        <w:pStyle w:val="P0"/>
        <w:spacing w:lineRule="auto" w:line="360"/>
        <w:ind w:firstLine="528" w:right="0"/>
        <w:rPr/>
      </w:pPr>
      <w:r>
        <w:rPr>
          <w:rFonts w:ascii="Times New Roman" w:hAnsi="Times New Roman"/>
          <w:kern w:val="0"/>
          <w:sz w:val="28"/>
          <w:szCs w:val="28"/>
        </w:rPr>
        <w:t>第四条</w:t>
      </w:r>
      <w:r>
        <w:rPr>
          <w:rFonts w:ascii="Times New Roman" w:hAnsi="Times New Roman" w:eastAsia="Times New Roman"/>
          <w:kern w:val="0"/>
          <w:sz w:val="28"/>
          <w:szCs w:val="28"/>
        </w:rPr>
        <w:t xml:space="preserve"> </w:t>
      </w:r>
      <w:r>
        <w:rPr>
          <w:rFonts w:ascii="Times New Roman" w:hAnsi="Times New Roman" w:eastAsia="Times New Roman"/>
          <w:kern w:val="0"/>
          <w:sz w:val="28"/>
          <w:szCs w:val="28"/>
        </w:rPr>
        <w:t xml:space="preserve"> </w:t>
      </w:r>
      <w:r>
        <w:rPr>
          <w:rFonts w:ascii="Times New Roman" w:hAnsi="Times New Roman"/>
          <w:kern w:val="0"/>
          <w:sz w:val="28"/>
          <w:szCs w:val="28"/>
        </w:rPr>
        <w:t>本办法所称集团客户授信业务风险是指由于本行对集团客户多头授信、过度授信和不适当分配授信额度，或集团客户经营不善以及集团客户通过关联交易、资产重组等手段在内部关联方之间不按公允价格原则转移资产或利润等情况，导致不能按期收回由于授信产生的贷款本金及利息，或给本行带来其他损失的可能性。</w:t>
      </w:r>
    </w:p>
    <w:p>
      <w:pPr>
        <w:pStyle w:val="Normal"/>
        <w:spacing w:lineRule="auto" w:line="360"/>
        <w:ind w:firstLine="528" w:right="0"/>
        <w:rPr/>
      </w:pPr>
      <w:r>
        <w:rPr>
          <w:rFonts w:eastAsia="仿宋_GB2312;仿宋"/>
          <w:bCs/>
          <w:sz w:val="28"/>
          <w:szCs w:val="28"/>
        </w:rPr>
        <w:t>第五条</w:t>
      </w:r>
      <w:r>
        <w:rPr>
          <w:rFonts w:eastAsia="Times New Roman"/>
          <w:bCs/>
          <w:sz w:val="28"/>
          <w:szCs w:val="28"/>
        </w:rPr>
        <w:t xml:space="preserve"> </w:t>
      </w:r>
      <w:r>
        <w:rPr>
          <w:rFonts w:eastAsia="Times New Roman"/>
          <w:bCs/>
          <w:sz w:val="28"/>
          <w:szCs w:val="28"/>
        </w:rPr>
        <w:t xml:space="preserve"> </w:t>
      </w:r>
      <w:r>
        <w:rPr>
          <w:rFonts w:eastAsia="仿宋_GB2312;仿宋"/>
          <w:bCs/>
          <w:sz w:val="28"/>
          <w:szCs w:val="28"/>
        </w:rPr>
        <w:t>对集团客户授信应遵循以下原则：</w:t>
      </w:r>
    </w:p>
    <w:p>
      <w:pPr>
        <w:pStyle w:val="Normal"/>
        <w:spacing w:lineRule="auto" w:line="360"/>
        <w:ind w:firstLine="528" w:right="0"/>
        <w:rPr/>
      </w:pPr>
      <w:r>
        <w:rPr>
          <w:rFonts w:eastAsia="仿宋_GB2312;仿宋"/>
          <w:bCs/>
          <w:sz w:val="28"/>
          <w:szCs w:val="28"/>
        </w:rPr>
        <w:t>（一）统一原则。对集团客户授信实行本行统一管理，集中对集团客户及关联企业授信，进行风险控制。</w:t>
      </w:r>
    </w:p>
    <w:p>
      <w:pPr>
        <w:pStyle w:val="Normal"/>
        <w:spacing w:lineRule="auto" w:line="360"/>
        <w:ind w:firstLine="528" w:right="0"/>
        <w:rPr>
          <w:rFonts w:eastAsia="仿宋_GB2312;仿宋"/>
          <w:bCs/>
          <w:sz w:val="28"/>
          <w:szCs w:val="28"/>
        </w:rPr>
      </w:pPr>
      <w:r>
        <w:rPr>
          <w:rFonts w:eastAsia="仿宋_GB2312;仿宋"/>
          <w:bCs/>
          <w:sz w:val="28"/>
          <w:szCs w:val="28"/>
        </w:rPr>
        <w:t>（二）适度原则。根据授信客体风险大小和本行风险承担能力，合理确定对集团客户的总体最高授信额度，防止风险过度集中。同时根据集团客户内的各个授信对象，充分考虑其自身的信用、经营和财务状况，区别授信。最高授信额度根据集团客户的经营和财务状况适时做出调整。</w:t>
      </w:r>
    </w:p>
    <w:p>
      <w:pPr>
        <w:pStyle w:val="Normal"/>
        <w:spacing w:lineRule="auto" w:line="360"/>
        <w:ind w:firstLine="528" w:right="0"/>
        <w:rPr>
          <w:rFonts w:eastAsia="仿宋_GB2312;仿宋"/>
          <w:bCs/>
          <w:sz w:val="28"/>
          <w:szCs w:val="28"/>
        </w:rPr>
      </w:pPr>
      <w:r>
        <w:rPr>
          <w:rFonts w:eastAsia="仿宋_GB2312;仿宋"/>
          <w:bCs/>
          <w:sz w:val="28"/>
          <w:szCs w:val="28"/>
        </w:rPr>
        <w:t>（三）预警原则。建立风险预警制度，及时防范和化解集团客户授信风险。</w:t>
      </w:r>
    </w:p>
    <w:p>
      <w:pPr>
        <w:pStyle w:val="Normal"/>
        <w:spacing w:lineRule="auto" w:line="360"/>
        <w:ind w:firstLine="528" w:right="0"/>
        <w:rPr/>
      </w:pPr>
      <w:r>
        <w:rPr>
          <w:rFonts w:eastAsia="仿宋_GB2312;仿宋"/>
          <w:bCs/>
          <w:sz w:val="28"/>
          <w:szCs w:val="28"/>
        </w:rPr>
        <w:t>第六条</w:t>
      </w:r>
      <w:r>
        <w:rPr>
          <w:rFonts w:eastAsia="Times New Roman"/>
          <w:bCs/>
          <w:sz w:val="28"/>
          <w:szCs w:val="28"/>
        </w:rPr>
        <w:t xml:space="preserve"> </w:t>
      </w:r>
      <w:r>
        <w:rPr>
          <w:rFonts w:eastAsia="Times New Roman"/>
          <w:bCs/>
          <w:sz w:val="28"/>
          <w:szCs w:val="28"/>
        </w:rPr>
        <w:t xml:space="preserve"> </w:t>
      </w:r>
      <w:r>
        <w:rPr>
          <w:rFonts w:eastAsia="仿宋_GB2312;仿宋"/>
          <w:bCs/>
          <w:sz w:val="28"/>
          <w:szCs w:val="28"/>
        </w:rPr>
        <w:t>集团客户授信应与本行风险承受能力相匹配，对单一集团客户授信总额不得超过本行资本净额的</w:t>
      </w:r>
      <w:r>
        <w:rPr>
          <w:rFonts w:eastAsia="仿宋_GB2312;仿宋"/>
          <w:bCs/>
          <w:sz w:val="28"/>
          <w:szCs w:val="28"/>
        </w:rPr>
        <w:t>15%</w:t>
      </w:r>
      <w:r>
        <w:rPr>
          <w:rFonts w:eastAsia="仿宋_GB2312;仿宋"/>
          <w:bCs/>
          <w:sz w:val="28"/>
          <w:szCs w:val="28"/>
        </w:rPr>
        <w:t>。</w:t>
      </w:r>
    </w:p>
    <w:p>
      <w:pPr>
        <w:pStyle w:val="Normal"/>
        <w:spacing w:lineRule="auto" w:line="360" w:before="156" w:after="0"/>
        <w:ind w:firstLine="530" w:right="0"/>
        <w:jc w:val="center"/>
        <w:rPr/>
      </w:pPr>
      <w:r>
        <w:rPr>
          <w:rFonts w:eastAsia="仿宋_GB2312;仿宋"/>
          <w:b/>
          <w:sz w:val="28"/>
          <w:szCs w:val="28"/>
        </w:rPr>
        <w:t>第二章</w:t>
      </w:r>
      <w:r>
        <w:rPr>
          <w:rFonts w:eastAsia="Times New Roman"/>
          <w:b/>
          <w:sz w:val="28"/>
          <w:szCs w:val="28"/>
        </w:rPr>
        <w:t xml:space="preserve">  </w:t>
      </w:r>
      <w:r>
        <w:rPr>
          <w:rFonts w:eastAsia="仿宋_GB2312;仿宋"/>
          <w:b/>
          <w:sz w:val="28"/>
          <w:szCs w:val="28"/>
        </w:rPr>
        <w:t>组织管理体系</w:t>
      </w:r>
    </w:p>
    <w:p>
      <w:pPr>
        <w:pStyle w:val="Normal"/>
        <w:spacing w:lineRule="auto" w:line="360"/>
        <w:ind w:firstLine="528" w:right="0"/>
        <w:rPr/>
      </w:pPr>
      <w:r>
        <w:rPr>
          <w:rFonts w:eastAsia="仿宋_GB2312;仿宋"/>
          <w:bCs/>
          <w:sz w:val="28"/>
          <w:szCs w:val="28"/>
        </w:rPr>
        <w:t>第七条</w:t>
      </w:r>
      <w:r>
        <w:rPr>
          <w:rFonts w:eastAsia="Times New Roman"/>
          <w:bCs/>
          <w:sz w:val="28"/>
          <w:szCs w:val="28"/>
        </w:rPr>
        <w:t xml:space="preserve">  </w:t>
      </w:r>
      <w:r>
        <w:rPr>
          <w:rFonts w:eastAsia="仿宋_GB2312;仿宋"/>
          <w:bCs/>
          <w:sz w:val="28"/>
          <w:szCs w:val="28"/>
        </w:rPr>
        <w:t>公司业务</w:t>
      </w:r>
      <w:r>
        <w:rPr>
          <w:rFonts w:eastAsia="仿宋_GB2312;仿宋"/>
          <w:bCs/>
          <w:sz w:val="28"/>
          <w:szCs w:val="28"/>
        </w:rPr>
        <w:t>部负责收集集团客户的授信材料、尽职调查、提出授信初步意见，根据授信审批落实授信条件以及集团客户经营管理信息的跟踪收集、风险预警通报和贷后管理工作。</w:t>
      </w:r>
    </w:p>
    <w:p>
      <w:pPr>
        <w:pStyle w:val="Normal"/>
        <w:autoSpaceDE w:val="false"/>
        <w:spacing w:lineRule="auto" w:line="360"/>
        <w:ind w:firstLine="528" w:right="0"/>
        <w:rPr>
          <w:rFonts w:eastAsia="仿宋_GB2312;仿宋"/>
          <w:sz w:val="28"/>
          <w:szCs w:val="28"/>
        </w:rPr>
      </w:pPr>
      <w:r>
        <w:rPr>
          <w:rFonts w:eastAsia="仿宋_GB2312;仿宋"/>
          <w:bCs/>
          <w:sz w:val="28"/>
          <w:szCs w:val="28"/>
        </w:rPr>
        <w:t>第八条</w:t>
      </w:r>
      <w:r>
        <w:rPr>
          <w:rFonts w:eastAsia="Times New Roman"/>
          <w:bCs/>
          <w:sz w:val="28"/>
          <w:szCs w:val="28"/>
        </w:rPr>
        <w:t xml:space="preserve">  </w:t>
      </w:r>
      <w:r>
        <w:rPr>
          <w:rFonts w:eastAsia="仿宋_GB2312;仿宋"/>
          <w:bCs/>
          <w:sz w:val="28"/>
          <w:szCs w:val="28"/>
        </w:rPr>
        <w:t>授信评审部负责拟定集团客户授信管理制度及操作流程，组织年度集中授信，对支行提交的集团客户授信材料进行审查、实施权限内审批，负责集团客户授信的统计、分析和上报工作。</w:t>
      </w:r>
    </w:p>
    <w:p>
      <w:pPr>
        <w:pStyle w:val="Normal"/>
        <w:spacing w:lineRule="auto" w:line="360"/>
        <w:ind w:firstLine="528" w:right="0"/>
        <w:rPr/>
      </w:pPr>
      <w:r>
        <w:rPr>
          <w:rFonts w:eastAsia="仿宋_GB2312;仿宋"/>
          <w:bCs/>
          <w:sz w:val="28"/>
          <w:szCs w:val="28"/>
        </w:rPr>
        <w:t>第九条</w:t>
      </w:r>
      <w:r>
        <w:rPr>
          <w:rFonts w:eastAsia="Times New Roman"/>
          <w:bCs/>
          <w:sz w:val="28"/>
          <w:szCs w:val="28"/>
        </w:rPr>
        <w:t xml:space="preserve">  </w:t>
      </w:r>
      <w:r>
        <w:rPr>
          <w:rFonts w:eastAsia="仿宋_GB2312;仿宋"/>
          <w:bCs/>
          <w:sz w:val="28"/>
          <w:szCs w:val="28"/>
        </w:rPr>
        <w:t>风险管理部负责对大额集团客户授信业务进行风险评估、识别和控制。</w:t>
      </w:r>
    </w:p>
    <w:p>
      <w:pPr>
        <w:pStyle w:val="Normal"/>
        <w:spacing w:lineRule="auto" w:line="360"/>
        <w:ind w:firstLine="528" w:right="0"/>
        <w:rPr/>
      </w:pPr>
      <w:r>
        <w:rPr>
          <w:rFonts w:eastAsia="仿宋_GB2312;仿宋"/>
          <w:bCs/>
          <w:sz w:val="28"/>
          <w:szCs w:val="28"/>
        </w:rPr>
        <w:t>第十条</w:t>
      </w:r>
      <w:r>
        <w:rPr>
          <w:rFonts w:eastAsia="Times New Roman"/>
          <w:bCs/>
          <w:sz w:val="28"/>
          <w:szCs w:val="28"/>
        </w:rPr>
        <w:t xml:space="preserve">  </w:t>
      </w:r>
      <w:r>
        <w:rPr>
          <w:rFonts w:eastAsia="仿宋_GB2312;仿宋"/>
          <w:bCs/>
          <w:sz w:val="28"/>
          <w:szCs w:val="28"/>
        </w:rPr>
        <w:t>合规管理部负责审查本行集团客户授信管理办法的合规性和有效性。</w:t>
      </w:r>
    </w:p>
    <w:p>
      <w:pPr>
        <w:pStyle w:val="Normal"/>
        <w:spacing w:lineRule="auto" w:line="360"/>
        <w:ind w:firstLine="528" w:right="0"/>
        <w:rPr/>
      </w:pPr>
      <w:r>
        <w:rPr>
          <w:rFonts w:eastAsia="仿宋_GB2312;仿宋"/>
          <w:bCs/>
          <w:sz w:val="28"/>
          <w:szCs w:val="28"/>
        </w:rPr>
        <w:t>第十一条</w:t>
      </w:r>
      <w:r>
        <w:rPr>
          <w:rFonts w:eastAsia="Times New Roman"/>
          <w:bCs/>
          <w:sz w:val="28"/>
          <w:szCs w:val="28"/>
        </w:rPr>
        <w:t xml:space="preserve">  </w:t>
      </w:r>
      <w:r>
        <w:rPr>
          <w:rFonts w:eastAsia="仿宋_GB2312;仿宋"/>
          <w:bCs/>
          <w:sz w:val="28"/>
          <w:szCs w:val="28"/>
        </w:rPr>
        <w:t>审计稽核部负责对集团客户授信业务进行审计稽核和监督检查。</w:t>
      </w:r>
    </w:p>
    <w:p>
      <w:pPr>
        <w:pStyle w:val="Normal"/>
        <w:spacing w:lineRule="auto" w:line="360" w:before="156" w:after="0"/>
        <w:ind w:firstLine="530" w:right="0"/>
        <w:jc w:val="center"/>
        <w:rPr>
          <w:b/>
          <w:sz w:val="28"/>
          <w:szCs w:val="28"/>
        </w:rPr>
      </w:pPr>
      <w:r>
        <w:rPr>
          <w:rFonts w:eastAsia="仿宋_GB2312;仿宋"/>
          <w:b/>
          <w:sz w:val="28"/>
          <w:szCs w:val="28"/>
        </w:rPr>
        <w:t>第三章</w:t>
      </w:r>
      <w:r>
        <w:rPr>
          <w:rFonts w:eastAsia="Times New Roman"/>
          <w:b/>
          <w:sz w:val="28"/>
          <w:szCs w:val="28"/>
        </w:rPr>
        <w:t xml:space="preserve">  </w:t>
      </w:r>
      <w:r>
        <w:rPr>
          <w:rFonts w:eastAsia="仿宋_GB2312;仿宋"/>
          <w:b/>
          <w:sz w:val="28"/>
          <w:szCs w:val="28"/>
        </w:rPr>
        <w:t>授信条件</w:t>
      </w:r>
    </w:p>
    <w:p>
      <w:pPr>
        <w:pStyle w:val="Normal"/>
        <w:spacing w:lineRule="auto" w:line="360"/>
        <w:ind w:firstLine="528" w:right="0"/>
        <w:rPr>
          <w:bCs/>
          <w:sz w:val="28"/>
          <w:szCs w:val="28"/>
        </w:rPr>
      </w:pPr>
      <w:r>
        <w:rPr>
          <w:rFonts w:eastAsia="仿宋_GB2312;仿宋"/>
          <w:bCs/>
          <w:sz w:val="28"/>
          <w:szCs w:val="28"/>
        </w:rPr>
        <w:t>第十二条</w:t>
      </w:r>
      <w:r>
        <w:rPr>
          <w:rFonts w:eastAsia="Times New Roman"/>
          <w:bCs/>
          <w:sz w:val="28"/>
          <w:szCs w:val="28"/>
        </w:rPr>
        <w:t xml:space="preserve">  </w:t>
      </w:r>
      <w:r>
        <w:rPr>
          <w:rFonts w:eastAsia="仿宋_GB2312;仿宋"/>
          <w:bCs/>
          <w:sz w:val="28"/>
          <w:szCs w:val="28"/>
        </w:rPr>
        <w:t>集团客户的授信对象必须具备《授信管理办法》规定的条件。</w:t>
      </w:r>
    </w:p>
    <w:p>
      <w:pPr>
        <w:pStyle w:val="Normal"/>
        <w:spacing w:lineRule="auto" w:line="360" w:before="156" w:after="0"/>
        <w:ind w:firstLine="530" w:right="0"/>
        <w:jc w:val="center"/>
        <w:rPr>
          <w:rFonts w:eastAsia="仿宋_GB2312;仿宋"/>
          <w:b/>
          <w:color w:val="000000"/>
          <w:sz w:val="28"/>
          <w:szCs w:val="28"/>
        </w:rPr>
      </w:pPr>
      <w:r>
        <w:rPr>
          <w:rFonts w:eastAsia="仿宋_GB2312;仿宋"/>
          <w:b/>
          <w:bCs/>
          <w:sz w:val="28"/>
          <w:szCs w:val="28"/>
        </w:rPr>
        <w:t>第四章</w:t>
      </w:r>
      <w:r>
        <w:rPr>
          <w:rFonts w:eastAsia="Times New Roman"/>
          <w:b/>
          <w:bCs/>
          <w:sz w:val="28"/>
          <w:szCs w:val="28"/>
        </w:rPr>
        <w:t xml:space="preserve">  </w:t>
      </w:r>
      <w:r>
        <w:rPr>
          <w:rFonts w:eastAsia="仿宋_GB2312;仿宋"/>
          <w:b/>
          <w:bCs/>
          <w:sz w:val="28"/>
          <w:szCs w:val="28"/>
        </w:rPr>
        <w:t>授信流程</w:t>
      </w:r>
    </w:p>
    <w:p>
      <w:pPr>
        <w:pStyle w:val="Normal"/>
        <w:spacing w:lineRule="auto" w:line="360"/>
        <w:ind w:firstLine="528" w:right="0"/>
        <w:rPr>
          <w:bCs/>
          <w:sz w:val="28"/>
          <w:szCs w:val="28"/>
        </w:rPr>
      </w:pPr>
      <w:r>
        <w:rPr>
          <w:rFonts w:eastAsia="仿宋_GB2312;仿宋"/>
          <w:bCs/>
          <w:sz w:val="28"/>
          <w:szCs w:val="28"/>
        </w:rPr>
        <w:t>第十三条</w:t>
      </w:r>
      <w:r>
        <w:rPr>
          <w:rFonts w:eastAsia="Times New Roman"/>
          <w:bCs/>
          <w:sz w:val="28"/>
          <w:szCs w:val="28"/>
        </w:rPr>
        <w:t xml:space="preserve">  </w:t>
      </w:r>
      <w:r>
        <w:rPr>
          <w:rFonts w:eastAsia="仿宋_GB2312;仿宋"/>
          <w:bCs/>
          <w:sz w:val="28"/>
          <w:szCs w:val="28"/>
        </w:rPr>
        <w:t>集团客户的授信流程按《授信管理办法》规定的授信流程执行。</w:t>
      </w:r>
    </w:p>
    <w:p>
      <w:pPr>
        <w:pStyle w:val="Normal"/>
        <w:spacing w:lineRule="auto" w:line="360" w:before="156" w:after="0"/>
        <w:ind w:firstLine="530" w:right="0"/>
        <w:jc w:val="center"/>
        <w:rPr/>
      </w:pPr>
      <w:r>
        <w:rPr>
          <w:rFonts w:eastAsia="仿宋_GB2312;仿宋"/>
          <w:b/>
          <w:color w:val="000000"/>
          <w:sz w:val="28"/>
          <w:szCs w:val="28"/>
        </w:rPr>
        <w:t>第五章</w:t>
      </w:r>
      <w:r>
        <w:rPr>
          <w:rFonts w:eastAsia="Times New Roman"/>
          <w:b/>
          <w:color w:val="000000"/>
          <w:sz w:val="28"/>
          <w:szCs w:val="28"/>
        </w:rPr>
        <w:t xml:space="preserve">  </w:t>
      </w:r>
      <w:r>
        <w:rPr>
          <w:rFonts w:eastAsia="仿宋_GB2312;仿宋"/>
          <w:b/>
          <w:bCs/>
          <w:sz w:val="28"/>
          <w:szCs w:val="28"/>
        </w:rPr>
        <w:t>授信风险管理</w:t>
      </w:r>
    </w:p>
    <w:p>
      <w:pPr>
        <w:pStyle w:val="Normal"/>
        <w:spacing w:lineRule="auto" w:line="360"/>
        <w:ind w:firstLine="528" w:right="0"/>
        <w:rPr/>
      </w:pPr>
      <w:r>
        <w:rPr>
          <w:rFonts w:eastAsia="仿宋_GB2312;仿宋"/>
          <w:bCs/>
          <w:sz w:val="28"/>
          <w:szCs w:val="28"/>
        </w:rPr>
        <w:t>第十四条</w:t>
      </w:r>
      <w:r>
        <w:rPr>
          <w:rFonts w:eastAsia="Times New Roman"/>
          <w:bCs/>
          <w:sz w:val="28"/>
          <w:szCs w:val="28"/>
        </w:rPr>
        <w:t xml:space="preserve">  </w:t>
      </w:r>
      <w:r>
        <w:rPr>
          <w:rFonts w:eastAsia="仿宋_GB2312;仿宋"/>
          <w:bCs/>
          <w:sz w:val="28"/>
          <w:szCs w:val="28"/>
        </w:rPr>
        <w:t>集团客户原则上只能在</w:t>
      </w:r>
      <w:r>
        <w:rPr>
          <w:rFonts w:eastAsia="仿宋_GB2312;仿宋"/>
          <w:bCs/>
          <w:sz w:val="28"/>
          <w:szCs w:val="28"/>
        </w:rPr>
        <w:t>公司业务部</w:t>
      </w:r>
      <w:r>
        <w:rPr>
          <w:rFonts w:eastAsia="仿宋_GB2312;仿宋"/>
          <w:bCs/>
          <w:sz w:val="28"/>
          <w:szCs w:val="28"/>
        </w:rPr>
        <w:t>取得授信。集团客户内成员因特殊原因需在不同支行取得授信的，由本行整体控制，协调分配。</w:t>
      </w:r>
    </w:p>
    <w:p>
      <w:pPr>
        <w:pStyle w:val="Normal"/>
        <w:spacing w:lineRule="auto" w:line="360"/>
        <w:ind w:firstLine="528" w:right="0"/>
        <w:rPr/>
      </w:pPr>
      <w:r>
        <w:rPr>
          <w:rFonts w:eastAsia="仿宋_GB2312;仿宋"/>
          <w:bCs/>
          <w:sz w:val="28"/>
          <w:szCs w:val="28"/>
        </w:rPr>
        <w:t>第十五条</w:t>
      </w:r>
      <w:r>
        <w:rPr>
          <w:rFonts w:eastAsia="Times New Roman"/>
          <w:bCs/>
          <w:sz w:val="28"/>
          <w:szCs w:val="28"/>
        </w:rPr>
        <w:t xml:space="preserve">  </w:t>
      </w:r>
      <w:r>
        <w:rPr>
          <w:rFonts w:eastAsia="仿宋_GB2312;仿宋"/>
          <w:bCs/>
          <w:sz w:val="28"/>
          <w:szCs w:val="28"/>
        </w:rPr>
        <w:t>对集团客户授信时，应当要求集团客户提供真实、完整的信息资料，包括但不限于集团客户各成员的名称、相互之间的关联关系、组织机构代码、法定代表人及证件、实际控制人及证件、注册地、注册资本、主营业务、股权结构、高级管理人员情况、财务状况、重大资产项目、担保情况和重大诉讼情况以及在其他金融机构授信情况等。</w:t>
      </w:r>
    </w:p>
    <w:p>
      <w:pPr>
        <w:pStyle w:val="Normal"/>
        <w:spacing w:lineRule="auto" w:line="360"/>
        <w:ind w:firstLine="528" w:right="0"/>
        <w:rPr/>
      </w:pPr>
      <w:r>
        <w:rPr>
          <w:rFonts w:eastAsia="仿宋_GB2312;仿宋"/>
          <w:bCs/>
          <w:sz w:val="28"/>
          <w:szCs w:val="28"/>
        </w:rPr>
        <w:t>第十六条</w:t>
      </w:r>
      <w:r>
        <w:rPr>
          <w:rFonts w:eastAsia="Times New Roman"/>
          <w:bCs/>
          <w:sz w:val="28"/>
          <w:szCs w:val="28"/>
        </w:rPr>
        <w:t xml:space="preserve">  </w:t>
      </w:r>
      <w:r>
        <w:rPr>
          <w:rFonts w:eastAsia="仿宋_GB2312;仿宋"/>
          <w:bCs/>
          <w:sz w:val="28"/>
          <w:szCs w:val="28"/>
        </w:rPr>
        <w:t>对集团客户内各个授信对象核定最高授信额度时，在充分考虑各个授信对象自身的信用状况、经营状况和财务状况的同时，还应当充分考虑集团客户的整体信用状况、经营状况和财务状况。最高授信额度应当根据集团客户的经营和财务状况变化及时做出调整。</w:t>
      </w:r>
    </w:p>
    <w:p>
      <w:pPr>
        <w:pStyle w:val="Normal"/>
        <w:spacing w:lineRule="auto" w:line="360"/>
        <w:ind w:firstLine="528" w:right="0"/>
        <w:rPr>
          <w:rFonts w:eastAsia="仿宋_GB2312;仿宋"/>
          <w:bCs/>
          <w:sz w:val="28"/>
          <w:szCs w:val="28"/>
        </w:rPr>
      </w:pPr>
      <w:r>
        <w:rPr>
          <w:rFonts w:eastAsia="仿宋_GB2312;仿宋"/>
          <w:bCs/>
          <w:sz w:val="28"/>
          <w:szCs w:val="28"/>
        </w:rPr>
        <w:t>第十七条</w:t>
      </w:r>
      <w:r>
        <w:rPr>
          <w:rFonts w:eastAsia="Times New Roman"/>
          <w:bCs/>
          <w:sz w:val="28"/>
          <w:szCs w:val="28"/>
        </w:rPr>
        <w:t xml:space="preserve">  </w:t>
      </w:r>
      <w:r>
        <w:rPr>
          <w:rFonts w:eastAsia="仿宋_GB2312;仿宋"/>
          <w:bCs/>
          <w:sz w:val="28"/>
          <w:szCs w:val="28"/>
        </w:rPr>
        <w:t>集团客户的授信需求超过本行风险的承受能力时，应当采取组织银团贷款、联合贷款等措施分散风险。</w:t>
      </w:r>
    </w:p>
    <w:p>
      <w:pPr>
        <w:pStyle w:val="Normal"/>
        <w:spacing w:lineRule="auto" w:line="360"/>
        <w:ind w:firstLine="528" w:right="0"/>
        <w:rPr>
          <w:bCs/>
          <w:sz w:val="28"/>
          <w:szCs w:val="28"/>
        </w:rPr>
      </w:pPr>
      <w:r>
        <w:rPr>
          <w:rFonts w:eastAsia="仿宋_GB2312;仿宋"/>
          <w:bCs/>
          <w:sz w:val="28"/>
          <w:szCs w:val="28"/>
        </w:rPr>
        <w:t>第十八条</w:t>
      </w:r>
      <w:r>
        <w:rPr>
          <w:rFonts w:eastAsia="Times New Roman"/>
          <w:bCs/>
          <w:sz w:val="28"/>
          <w:szCs w:val="28"/>
        </w:rPr>
        <w:t xml:space="preserve">  </w:t>
      </w:r>
      <w:r>
        <w:rPr>
          <w:rFonts w:eastAsia="仿宋_GB2312;仿宋"/>
          <w:bCs/>
          <w:sz w:val="28"/>
          <w:szCs w:val="28"/>
        </w:rPr>
        <w:t>对集团客户授信时，担保措施应尽可能采用抵（质）押贷款方式；采取保证贷款方式时，应严格控制集团客户内部直接控股或者间接控股的关联方之间的相互担保，以防贷款风险。</w:t>
      </w:r>
    </w:p>
    <w:p>
      <w:pPr>
        <w:pStyle w:val="Normal"/>
        <w:spacing w:lineRule="auto" w:line="360"/>
        <w:ind w:firstLine="528" w:right="0"/>
        <w:rPr/>
      </w:pPr>
      <w:r>
        <w:rPr>
          <w:rFonts w:eastAsia="仿宋_GB2312;仿宋"/>
          <w:bCs/>
          <w:sz w:val="28"/>
          <w:szCs w:val="28"/>
        </w:rPr>
        <w:t>第十九条</w:t>
      </w:r>
      <w:r>
        <w:rPr>
          <w:rFonts w:eastAsia="Times New Roman"/>
          <w:bCs/>
          <w:sz w:val="28"/>
          <w:szCs w:val="28"/>
        </w:rPr>
        <w:t xml:space="preserve">  </w:t>
      </w:r>
      <w:r>
        <w:rPr>
          <w:rFonts w:eastAsia="仿宋_GB2312;仿宋"/>
          <w:bCs/>
          <w:sz w:val="28"/>
          <w:szCs w:val="28"/>
        </w:rPr>
        <w:t>对</w:t>
      </w:r>
      <w:r>
        <w:rPr>
          <w:rFonts w:eastAsia="仿宋_GB2312;仿宋"/>
          <w:sz w:val="28"/>
          <w:szCs w:val="28"/>
        </w:rPr>
        <w:t>集团客户授信后，应做好集团客户授信后信息收集与整理工作，集团客户贷款的变化、经营状况的变化、关键管理人员的变动以及集团客户的违规经营、被起诉、欠息、逃废债、提供虚假资料等重大事项必须及时登记录到本行信贷信息管理系统。</w:t>
      </w:r>
    </w:p>
    <w:p>
      <w:pPr>
        <w:pStyle w:val="Normal"/>
        <w:widowControl/>
        <w:spacing w:lineRule="auto" w:line="360"/>
        <w:ind w:firstLine="528" w:right="0"/>
        <w:jc w:val="left"/>
        <w:rPr>
          <w:rFonts w:eastAsia="仿宋_GB2312;仿宋"/>
          <w:kern w:val="0"/>
          <w:sz w:val="28"/>
          <w:szCs w:val="28"/>
        </w:rPr>
      </w:pPr>
      <w:r>
        <w:rPr>
          <w:rFonts w:eastAsia="仿宋_GB2312;仿宋"/>
          <w:bCs/>
          <w:sz w:val="28"/>
          <w:szCs w:val="28"/>
        </w:rPr>
        <w:t>第二十条</w:t>
      </w:r>
      <w:r>
        <w:rPr>
          <w:rFonts w:eastAsia="Times New Roman"/>
          <w:bCs/>
          <w:sz w:val="28"/>
          <w:szCs w:val="28"/>
        </w:rPr>
        <w:t xml:space="preserve">  </w:t>
      </w:r>
      <w:r>
        <w:rPr>
          <w:rFonts w:eastAsia="仿宋_GB2312;仿宋"/>
          <w:bCs/>
          <w:sz w:val="28"/>
          <w:szCs w:val="28"/>
        </w:rPr>
        <w:t>对</w:t>
      </w:r>
      <w:r>
        <w:rPr>
          <w:rFonts w:eastAsia="仿宋_GB2312;仿宋"/>
          <w:kern w:val="0"/>
          <w:sz w:val="28"/>
          <w:szCs w:val="28"/>
        </w:rPr>
        <w:t>集团客户</w:t>
      </w:r>
      <w:r>
        <w:rPr>
          <w:rFonts w:eastAsia="仿宋_GB2312;仿宋"/>
          <w:sz w:val="28"/>
          <w:szCs w:val="28"/>
        </w:rPr>
        <w:t>后用信时</w:t>
      </w:r>
      <w:r>
        <w:rPr>
          <w:rFonts w:eastAsia="仿宋_GB2312;仿宋"/>
          <w:kern w:val="0"/>
          <w:sz w:val="28"/>
          <w:szCs w:val="28"/>
        </w:rPr>
        <w:t>，应当在贷款合同中约定，贷款对象有下列情形之一的，本行有权单方决定停止支付借款人尚未使用的贷款，并提前收回部分或全部贷款本息，依法采取其他措施：</w:t>
      </w:r>
    </w:p>
    <w:p>
      <w:pPr>
        <w:pStyle w:val="Normal"/>
        <w:widowControl/>
        <w:spacing w:lineRule="auto" w:line="360"/>
        <w:ind w:firstLine="528" w:right="0"/>
        <w:jc w:val="left"/>
        <w:rPr>
          <w:rFonts w:eastAsia="仿宋_GB2312;仿宋"/>
          <w:kern w:val="0"/>
          <w:sz w:val="28"/>
          <w:szCs w:val="28"/>
        </w:rPr>
      </w:pPr>
      <w:r>
        <w:rPr>
          <w:rFonts w:eastAsia="仿宋_GB2312;仿宋"/>
          <w:kern w:val="0"/>
          <w:sz w:val="28"/>
          <w:szCs w:val="28"/>
        </w:rPr>
        <w:t>（一）提供虚假材料或隐瞒重要经营财务事实的。</w:t>
      </w:r>
    </w:p>
    <w:p>
      <w:pPr>
        <w:pStyle w:val="Normal"/>
        <w:widowControl/>
        <w:spacing w:lineRule="auto" w:line="360"/>
        <w:ind w:firstLine="528" w:right="0"/>
        <w:jc w:val="left"/>
        <w:rPr>
          <w:rFonts w:eastAsia="仿宋_GB2312;仿宋"/>
          <w:kern w:val="0"/>
          <w:sz w:val="28"/>
          <w:szCs w:val="28"/>
        </w:rPr>
      </w:pPr>
      <w:r>
        <w:rPr>
          <w:rFonts w:eastAsia="仿宋_GB2312;仿宋"/>
          <w:kern w:val="0"/>
          <w:sz w:val="28"/>
          <w:szCs w:val="28"/>
        </w:rPr>
        <w:t>（二）未经本行同意擅自改变贷款原定用途，挪用贷款或用贷款从事非法、违规交易的。</w:t>
      </w:r>
    </w:p>
    <w:p>
      <w:pPr>
        <w:pStyle w:val="Normal"/>
        <w:widowControl/>
        <w:spacing w:lineRule="auto" w:line="360"/>
        <w:ind w:firstLine="528" w:right="0"/>
        <w:jc w:val="left"/>
        <w:rPr>
          <w:rFonts w:eastAsia="仿宋_GB2312;仿宋"/>
          <w:kern w:val="0"/>
          <w:sz w:val="28"/>
          <w:szCs w:val="28"/>
        </w:rPr>
      </w:pPr>
      <w:r>
        <w:rPr>
          <w:rFonts w:eastAsia="仿宋_GB2312;仿宋"/>
          <w:kern w:val="0"/>
          <w:sz w:val="28"/>
          <w:szCs w:val="28"/>
        </w:rPr>
        <w:t>（三）利用与关联方之间的虚假合同，以无真实贸易背景的应收票据、应收账款等债权到本行贴现或质押，套取本行资金或授信的。</w:t>
      </w:r>
    </w:p>
    <w:p>
      <w:pPr>
        <w:pStyle w:val="Normal"/>
        <w:widowControl/>
        <w:spacing w:lineRule="auto" w:line="360"/>
        <w:ind w:firstLine="528" w:right="0"/>
        <w:jc w:val="left"/>
        <w:rPr/>
      </w:pPr>
      <w:r>
        <w:rPr>
          <w:rFonts w:eastAsia="仿宋_GB2312;仿宋"/>
          <w:kern w:val="0"/>
          <w:sz w:val="28"/>
          <w:szCs w:val="28"/>
        </w:rPr>
        <w:t>（四）拒绝接受本行对其信贷资金使用情况和有关经营财务活动进行监督和检查的。</w:t>
      </w:r>
    </w:p>
    <w:p>
      <w:pPr>
        <w:pStyle w:val="Normal"/>
        <w:widowControl/>
        <w:spacing w:lineRule="auto" w:line="360"/>
        <w:ind w:firstLine="528" w:right="0"/>
        <w:jc w:val="left"/>
        <w:rPr>
          <w:rFonts w:eastAsia="仿宋_GB2312;仿宋"/>
          <w:kern w:val="0"/>
          <w:sz w:val="28"/>
          <w:szCs w:val="28"/>
        </w:rPr>
      </w:pPr>
      <w:r>
        <w:rPr>
          <w:rFonts w:eastAsia="仿宋_GB2312;仿宋"/>
          <w:kern w:val="0"/>
          <w:sz w:val="28"/>
          <w:szCs w:val="28"/>
        </w:rPr>
        <w:t>（五）出现重大兼并、收购重组等情况，本行认为可能影响到贷款安全的。</w:t>
      </w:r>
    </w:p>
    <w:p>
      <w:pPr>
        <w:pStyle w:val="Normal"/>
        <w:widowControl/>
        <w:spacing w:lineRule="auto" w:line="360"/>
        <w:ind w:firstLine="528" w:right="0"/>
        <w:jc w:val="left"/>
        <w:rPr>
          <w:rFonts w:eastAsia="仿宋_GB2312;仿宋"/>
          <w:kern w:val="0"/>
          <w:sz w:val="28"/>
          <w:szCs w:val="28"/>
        </w:rPr>
      </w:pPr>
      <w:r>
        <w:rPr>
          <w:rFonts w:eastAsia="仿宋_GB2312;仿宋"/>
          <w:kern w:val="0"/>
          <w:sz w:val="28"/>
          <w:szCs w:val="28"/>
        </w:rPr>
        <w:t>（六）通过关联交易，有意逃废本行债权的。</w:t>
      </w:r>
    </w:p>
    <w:p>
      <w:pPr>
        <w:pStyle w:val="Normal"/>
        <w:spacing w:lineRule="auto" w:line="360"/>
        <w:ind w:firstLine="528" w:right="0"/>
        <w:rPr>
          <w:rFonts w:eastAsia="仿宋_GB2312;仿宋"/>
          <w:bCs/>
          <w:sz w:val="28"/>
          <w:szCs w:val="28"/>
        </w:rPr>
      </w:pPr>
      <w:r>
        <w:rPr>
          <w:rFonts w:eastAsia="仿宋_GB2312;仿宋"/>
          <w:kern w:val="0"/>
          <w:sz w:val="28"/>
          <w:szCs w:val="28"/>
        </w:rPr>
        <w:t>（七）本行认定的其他重大违约行为。</w:t>
      </w:r>
    </w:p>
    <w:p>
      <w:pPr>
        <w:pStyle w:val="Normal"/>
        <w:spacing w:lineRule="auto" w:line="360"/>
        <w:ind w:firstLine="528" w:right="0"/>
        <w:rPr/>
      </w:pPr>
      <w:r>
        <w:rPr>
          <w:rFonts w:eastAsia="仿宋_GB2312;仿宋"/>
          <w:bCs/>
          <w:sz w:val="28"/>
          <w:szCs w:val="28"/>
        </w:rPr>
        <w:t>第二十一条</w:t>
      </w:r>
      <w:r>
        <w:rPr>
          <w:rFonts w:eastAsia="Times New Roman"/>
          <w:bCs/>
          <w:sz w:val="28"/>
          <w:szCs w:val="28"/>
        </w:rPr>
        <w:t xml:space="preserve">  </w:t>
      </w:r>
      <w:r>
        <w:rPr>
          <w:rFonts w:eastAsia="仿宋_GB2312;仿宋"/>
          <w:bCs/>
          <w:sz w:val="28"/>
          <w:szCs w:val="28"/>
        </w:rPr>
        <w:t>支行要加强对集团客户授信后风险管理，客户经理要定期或不定期开展针对整个集团客户的尽职检查，掌握其整体经营和财务变化的情况。</w:t>
      </w:r>
      <w:r>
        <w:rPr>
          <w:rFonts w:eastAsia="仿宋_GB2312;仿宋"/>
          <w:sz w:val="28"/>
          <w:szCs w:val="28"/>
        </w:rPr>
        <w:t>每季至少一次对集团客户进行一次全面的核查并上报信贷管理部和风险管理部。</w:t>
      </w:r>
    </w:p>
    <w:p>
      <w:pPr>
        <w:pStyle w:val="Normal"/>
        <w:spacing w:lineRule="auto" w:line="360" w:before="156" w:after="0"/>
        <w:ind w:firstLine="530" w:right="0"/>
        <w:jc w:val="center"/>
        <w:rPr>
          <w:b/>
          <w:bCs/>
          <w:sz w:val="28"/>
          <w:szCs w:val="28"/>
        </w:rPr>
      </w:pPr>
      <w:r>
        <w:rPr>
          <w:rFonts w:eastAsia="仿宋_GB2312;仿宋"/>
          <w:b/>
          <w:bCs/>
          <w:sz w:val="28"/>
          <w:szCs w:val="28"/>
        </w:rPr>
        <w:t>第六章</w:t>
      </w:r>
      <w:r>
        <w:rPr>
          <w:rFonts w:eastAsia="Times New Roman"/>
          <w:b/>
          <w:bCs/>
          <w:sz w:val="28"/>
          <w:szCs w:val="28"/>
        </w:rPr>
        <w:t xml:space="preserve">  </w:t>
      </w:r>
      <w:r>
        <w:rPr>
          <w:rFonts w:eastAsia="仿宋_GB2312;仿宋"/>
          <w:b/>
          <w:bCs/>
          <w:sz w:val="28"/>
          <w:szCs w:val="28"/>
        </w:rPr>
        <w:t>附则</w:t>
      </w:r>
    </w:p>
    <w:p>
      <w:pPr>
        <w:pStyle w:val="Normal"/>
        <w:spacing w:lineRule="auto" w:line="360"/>
        <w:ind w:firstLine="528" w:right="0"/>
        <w:jc w:val="left"/>
        <w:rPr/>
      </w:pPr>
      <w:r>
        <w:rPr>
          <w:rFonts w:eastAsia="仿宋_GB2312;仿宋"/>
          <w:kern w:val="0"/>
          <w:sz w:val="28"/>
          <w:szCs w:val="28"/>
        </w:rPr>
        <w:t>第二十二条</w:t>
      </w:r>
      <w:r>
        <w:rPr>
          <w:rFonts w:eastAsia="Times New Roman"/>
          <w:kern w:val="0"/>
          <w:sz w:val="28"/>
          <w:szCs w:val="28"/>
        </w:rPr>
        <w:t xml:space="preserve">  </w:t>
      </w:r>
      <w:r>
        <w:rPr>
          <w:rFonts w:eastAsia="仿宋_GB2312;仿宋"/>
          <w:kern w:val="0"/>
          <w:sz w:val="28"/>
          <w:szCs w:val="28"/>
        </w:rPr>
        <w:t>本办法未尽事宜执行《</w:t>
      </w:r>
      <w:r>
        <w:rPr>
          <w:rFonts w:eastAsia="仿宋_GB2312;仿宋"/>
          <w:sz w:val="28"/>
          <w:szCs w:val="28"/>
        </w:rPr>
        <w:t>授信管理办法</w:t>
      </w:r>
      <w:r>
        <w:rPr>
          <w:rFonts w:eastAsia="仿宋_GB2312;仿宋"/>
          <w:kern w:val="0"/>
          <w:sz w:val="28"/>
          <w:szCs w:val="28"/>
        </w:rPr>
        <w:t>》的相关规定。</w:t>
      </w:r>
    </w:p>
    <w:p>
      <w:pPr>
        <w:pStyle w:val="Normal"/>
        <w:spacing w:lineRule="auto" w:line="360"/>
        <w:ind w:firstLine="528" w:right="0"/>
        <w:rPr/>
      </w:pPr>
      <w:r>
        <w:rPr>
          <w:rFonts w:eastAsia="仿宋_GB2312;仿宋"/>
          <w:sz w:val="28"/>
          <w:szCs w:val="28"/>
        </w:rPr>
        <w:t>第二十三条</w:t>
      </w:r>
      <w:r>
        <w:rPr>
          <w:rFonts w:eastAsia="Times New Roman"/>
          <w:sz w:val="28"/>
          <w:szCs w:val="28"/>
        </w:rPr>
        <w:t xml:space="preserve">  </w:t>
      </w:r>
      <w:r>
        <w:rPr>
          <w:rFonts w:eastAsia="仿宋_GB2312;仿宋"/>
          <w:sz w:val="28"/>
          <w:szCs w:val="28"/>
        </w:rPr>
        <w:t>本办法由</w:t>
      </w:r>
      <w:r>
        <w:rPr>
          <w:rFonts w:eastAsia="仿宋_GB2312;仿宋"/>
          <w:sz w:val="28"/>
          <w:szCs w:val="28"/>
        </w:rPr>
        <w:t>本行</w:t>
      </w:r>
      <w:r>
        <w:rPr>
          <w:rFonts w:eastAsia="仿宋_GB2312;仿宋"/>
          <w:bCs/>
          <w:sz w:val="28"/>
          <w:szCs w:val="28"/>
        </w:rPr>
        <w:t>授信评审部</w:t>
      </w:r>
      <w:r>
        <w:rPr>
          <w:rFonts w:eastAsia="仿宋_GB2312;仿宋"/>
          <w:sz w:val="28"/>
          <w:szCs w:val="28"/>
        </w:rPr>
        <w:t>负责</w:t>
      </w:r>
      <w:r>
        <w:rPr>
          <w:rFonts w:eastAsia="仿宋_GB2312;仿宋"/>
          <w:sz w:val="28"/>
          <w:szCs w:val="28"/>
        </w:rPr>
        <w:t>解释和修订</w:t>
      </w:r>
      <w:r>
        <w:rPr>
          <w:rFonts w:eastAsia="仿宋_GB2312;仿宋"/>
          <w:sz w:val="28"/>
          <w:szCs w:val="28"/>
        </w:rPr>
        <w:t>。</w:t>
      </w:r>
    </w:p>
    <w:p>
      <w:pPr>
        <w:pStyle w:val="Normal"/>
        <w:spacing w:lineRule="auto" w:line="360"/>
        <w:ind w:firstLine="528" w:right="0"/>
        <w:rPr>
          <w:rFonts w:eastAsia="仿宋_GB2312;仿宋"/>
          <w:bCs/>
          <w:sz w:val="28"/>
          <w:szCs w:val="28"/>
        </w:rPr>
      </w:pPr>
      <w:r>
        <w:rPr>
          <w:rFonts w:eastAsia="仿宋_GB2312;仿宋"/>
          <w:sz w:val="28"/>
          <w:szCs w:val="28"/>
        </w:rPr>
        <w:t>第二十四条</w:t>
      </w:r>
      <w:r>
        <w:rPr>
          <w:rFonts w:eastAsia="Times New Roman"/>
          <w:sz w:val="28"/>
          <w:szCs w:val="28"/>
        </w:rPr>
        <w:t xml:space="preserve">  </w:t>
      </w:r>
      <w:r>
        <w:rPr>
          <w:rFonts w:eastAsia="仿宋_GB2312;仿宋"/>
          <w:sz w:val="28"/>
          <w:szCs w:val="28"/>
        </w:rPr>
        <w:t>本办法自印发之日起施行。</w:t>
      </w:r>
    </w:p>
    <w:p>
      <w:pPr>
        <w:pStyle w:val="Normal"/>
        <w:spacing w:lineRule="auto" w:line="360"/>
        <w:ind w:firstLine="528" w:right="0"/>
        <w:rPr>
          <w:rFonts w:eastAsia="仿宋_GB2312;仿宋"/>
          <w:bCs/>
          <w:sz w:val="28"/>
          <w:szCs w:val="28"/>
        </w:rPr>
      </w:pPr>
      <w:r>
        <w:rPr>
          <w:rFonts w:eastAsia="仿宋_GB2312;仿宋"/>
          <w:bCs/>
          <w:sz w:val="28"/>
          <w:szCs w:val="28"/>
        </w:rPr>
      </w:r>
    </w:p>
    <w:sectPr>
      <w:headerReference w:type="default" r:id="rId2"/>
      <w:type w:val="nextPage"/>
      <w:pgSz w:w="11906" w:h="16838"/>
      <w:pgMar w:left="1588" w:right="1588" w:gutter="0" w:header="851" w:top="1814" w:footer="0"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方正楷体简体">
    <w:altName w:val="宋体"/>
    <w:charset w:val="86"/>
    <w:family w:val="auto"/>
    <w:pitch w:val="default"/>
  </w:font>
  <w:font w:name="Tahoma">
    <w:charset w:val="00"/>
    <w:family w:val="swiss"/>
    <w:pitch w:val="variable"/>
  </w:font>
  <w:font w:name="仿宋_GB2312">
    <w:altName w:val="仿宋"/>
    <w:charset w:val="86"/>
    <w:family w:val="moder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60"/>
  <w:defaultTabStop w:val="420"/>
  <w:autoHyphenation w:val="true"/>
  <w:compat>
    <w:noLeading/>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tabs>
        <w:tab w:val="clear" w:pos="420"/>
        <w:tab w:val="left" w:pos="0" w:leader="none"/>
      </w:tabs>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tabs>
        <w:tab w:val="clear" w:pos="420"/>
        <w:tab w:val="left" w:pos="0" w:leader="none"/>
      </w:tabs>
      <w:snapToGrid w:val="false"/>
      <w:spacing w:lineRule="exact" w:line="566" w:before="260" w:after="260"/>
      <w:jc w:val="center"/>
      <w:outlineLvl w:val="1"/>
    </w:pPr>
    <w:rPr>
      <w:rFonts w:ascii="Arial" w:hAnsi="Arial" w:eastAsia="永中黑体;Times New Roman" w:cs="Arial"/>
      <w:color w:val="000000"/>
      <w:sz w:val="32"/>
      <w:szCs w:val="20"/>
    </w:rPr>
  </w:style>
  <w:style w:type="paragraph" w:styleId="Heading3">
    <w:name w:val="Heading 3"/>
    <w:basedOn w:val="Normal"/>
    <w:next w:val="Normal"/>
    <w:qFormat/>
    <w:pPr>
      <w:widowControl/>
      <w:numPr>
        <w:ilvl w:val="2"/>
        <w:numId w:val="1"/>
      </w:numPr>
      <w:tabs>
        <w:tab w:val="clear" w:pos="420"/>
        <w:tab w:val="left" w:pos="0" w:leader="none"/>
      </w:tabs>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tabs>
        <w:tab w:val="clear" w:pos="420"/>
        <w:tab w:val="left" w:pos="0" w:leader="none"/>
      </w:tabs>
      <w:snapToGrid w:val="false"/>
      <w:spacing w:lineRule="exact" w:line="566"/>
      <w:outlineLvl w:val="3"/>
    </w:pPr>
    <w:rPr>
      <w:rFonts w:ascii="Arial" w:hAnsi="Arial" w:eastAsia="永中仿宋;Times New Roman" w:cs="Arial"/>
      <w:b/>
      <w:color w:val="000000"/>
      <w:sz w:val="32"/>
      <w:szCs w:val="20"/>
    </w:rPr>
  </w:style>
  <w:style w:type="paragraph" w:styleId="Heading5">
    <w:name w:val="Heading 5"/>
    <w:basedOn w:val="Normal"/>
    <w:next w:val="Normal"/>
    <w:qFormat/>
    <w:pPr>
      <w:widowControl/>
      <w:numPr>
        <w:ilvl w:val="4"/>
        <w:numId w:val="1"/>
      </w:numPr>
      <w:tabs>
        <w:tab w:val="clear" w:pos="420"/>
        <w:tab w:val="left" w:pos="0" w:leader="none"/>
      </w:tabs>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tabs>
        <w:tab w:val="clear" w:pos="420"/>
        <w:tab w:val="left" w:pos="1800" w:leader="none"/>
      </w:tabs>
      <w:snapToGrid w:val="false"/>
      <w:spacing w:lineRule="exact" w:line="566" w:before="240" w:after="60"/>
      <w:outlineLvl w:val="5"/>
    </w:pPr>
    <w:rPr>
      <w:rFonts w:ascii="Arial" w:hAnsi="Arial" w:eastAsia="永中黑体;Times New Roman" w:cs="Arial"/>
      <w:b/>
      <w:color w:val="000000"/>
      <w:sz w:val="32"/>
      <w:szCs w:val="20"/>
    </w:rPr>
  </w:style>
  <w:style w:type="paragraph" w:styleId="Heading7">
    <w:name w:val="Heading 7"/>
    <w:basedOn w:val="Normal"/>
    <w:next w:val="Normal"/>
    <w:qFormat/>
    <w:pPr>
      <w:widowControl/>
      <w:numPr>
        <w:ilvl w:val="6"/>
        <w:numId w:val="1"/>
      </w:numPr>
      <w:tabs>
        <w:tab w:val="clear" w:pos="420"/>
        <w:tab w:val="left" w:pos="2160" w:leader="none"/>
      </w:tabs>
      <w:snapToGrid w:val="false"/>
      <w:spacing w:lineRule="exact" w:line="566" w:before="240" w:after="60"/>
      <w:outlineLvl w:val="6"/>
    </w:pPr>
    <w:rPr>
      <w:rFonts w:eastAsia="永中仿宋;Times New Roman"/>
      <w:b/>
      <w:color w:val="000000"/>
      <w:sz w:val="32"/>
      <w:szCs w:val="20"/>
    </w:rPr>
  </w:style>
  <w:style w:type="character" w:styleId="Style7">
    <w:name w:val="默认段落字体"/>
    <w:qFormat/>
    <w:rPr/>
  </w:style>
  <w:style w:type="character" w:styleId="Strong">
    <w:name w:val="Strong"/>
    <w:qFormat/>
    <w:rPr>
      <w:b/>
      <w:bCs/>
    </w:rPr>
  </w:style>
  <w:style w:type="character" w:styleId="PageNumber">
    <w:name w:val="Page Number"/>
    <w:basedOn w:val="Style7"/>
    <w:rPr/>
  </w:style>
  <w:style w:type="character" w:styleId="Style8">
    <w:name w:val="批注引用"/>
    <w:qFormat/>
    <w:rPr>
      <w:sz w:val="21"/>
      <w:szCs w:val="21"/>
    </w:rPr>
  </w:style>
  <w:style w:type="character" w:styleId="Style9">
    <w:name w:val="批注主题 字符"/>
    <w:qFormat/>
    <w:rPr>
      <w:b/>
      <w:bCs/>
      <w:kern w:val="2"/>
      <w:sz w:val="21"/>
      <w:szCs w:val="24"/>
    </w:rPr>
  </w:style>
  <w:style w:type="character" w:styleId="Style10">
    <w:name w:val="批注文字 字符"/>
    <w:qFormat/>
    <w:rPr>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1">
    <w:name w:val="批注框文本"/>
    <w:basedOn w:val="Normal"/>
    <w:qFormat/>
    <w:pPr/>
    <w:rPr>
      <w:sz w:val="18"/>
      <w:szCs w:val="18"/>
    </w:rPr>
  </w:style>
  <w:style w:type="paragraph" w:styleId="Style12">
    <w:name w:val="文档结构图"/>
    <w:basedOn w:val="Normal"/>
    <w:qFormat/>
    <w:pPr>
      <w:shd w:fill="000080" w:val="clear"/>
    </w:pPr>
    <w:rPr/>
  </w:style>
  <w:style w:type="paragraph" w:styleId="Style13">
    <w:name w:val="批注文字"/>
    <w:basedOn w:val="Normal"/>
    <w:qFormat/>
    <w:pPr>
      <w:jc w:val="left"/>
    </w:pPr>
    <w:rPr/>
  </w:style>
  <w:style w:type="paragraph" w:styleId="Style14">
    <w:name w:val="批注主题"/>
    <w:basedOn w:val="Style13"/>
    <w:next w:val="Style13"/>
    <w:qFormat/>
    <w:pPr/>
    <w:rPr>
      <w:b/>
      <w:bCs/>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BodyTextIndent">
    <w:name w:val="Body Text Indent"/>
    <w:basedOn w:val="Normal"/>
    <w:pPr>
      <w:spacing w:lineRule="atLeast" w:line="480"/>
      <w:ind w:firstLine="640" w:left="0" w:right="0"/>
    </w:pPr>
    <w:rPr>
      <w:rFonts w:ascii="方正楷体简体;宋体" w:hAnsi="方正楷体简体;宋体" w:eastAsia="方正楷体简体;宋体"/>
      <w:sz w:val="32"/>
      <w:szCs w:val="20"/>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12"/>
    <w:qFormat/>
    <w:pPr>
      <w:jc w:val="left"/>
    </w:pPr>
    <w:rPr>
      <w:szCs w:val="20"/>
    </w:rPr>
  </w:style>
  <w:style w:type="paragraph" w:styleId="CharCharChar1CharCharCharCharCharCharCharCharCharCharCharCharCharCharCharCharCharChar">
    <w:name w:val="Char Char Char1 Char Char Char Char Char Char Char Char Char Char Char Char Char Char Char Char Char Char"/>
    <w:basedOn w:val="Normal"/>
    <w:qFormat/>
    <w:pPr/>
    <w:rPr>
      <w:rFonts w:ascii="Tahoma" w:hAnsi="Tahoma" w:cs="Tahoma"/>
      <w:sz w:val="24"/>
    </w:rPr>
  </w:style>
  <w:style w:type="paragraph" w:styleId="P0">
    <w:name w:val="p0"/>
    <w:basedOn w:val="Normal"/>
    <w:qFormat/>
    <w:pPr>
      <w:spacing w:lineRule="exact" w:line="520"/>
      <w:ind w:firstLine="698" w:left="0" w:right="0"/>
    </w:pPr>
    <w:rPr>
      <w:rFonts w:ascii="仿宋_GB2312;仿宋" w:hAnsi="仿宋_GB2312;仿宋" w:eastAsia="仿宋_GB2312;仿宋"/>
      <w:sz w:val="32"/>
      <w:szCs w:val="2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2020-01-08T16:21:00Z</dcterms:created>
  <dc:creator>ls806</dc:creator>
  <dc:description/>
  <cp:keywords/>
  <dc:language>zh-CN</dc:language>
  <cp:lastModifiedBy>ding shu</cp:lastModifiedBy>
  <cp:lastPrinted>2012-12-13T16:23:00Z</cp:lastPrinted>
  <dcterms:modified xsi:type="dcterms:W3CDTF">2020-01-08T21:09:00Z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