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仿宋_GB2312;仿宋"/>
          <w:color w:val="000000"/>
          <w:sz w:val="28"/>
          <w:szCs w:val="28"/>
        </w:rPr>
      </w:pPr>
      <w:r>
        <w:rPr>
          <w:rFonts w:eastAsia="仿宋_GB2312;仿宋"/>
          <w:color w:val="000000"/>
          <w:sz w:val="28"/>
          <w:szCs w:val="28"/>
        </w:rPr>
      </w:r>
      <w:bookmarkStart w:id="0" w:name="zhengwen"/>
      <w:bookmarkStart w:id="1" w:name="zhengwen"/>
      <w:bookmarkEnd w:id="1"/>
    </w:p>
    <w:p>
      <w:pPr>
        <w:pStyle w:val="Style19"/>
        <w:ind w:hanging="0" w:right="0"/>
        <w:rPr/>
      </w:pPr>
      <w:r>
        <w:rPr>
          <w:rFonts w:ascii="Times New Roman" w:hAnsi="Times New Roman" w:cs="Times New Roman"/>
          <w:color w:val="000000"/>
        </w:rPr>
        <w:t>全</w:t>
      </w:r>
      <w:r>
        <w:rPr>
          <w:rFonts w:ascii="Times New Roman" w:hAnsi="Times New Roman" w:cs="Times New Roman"/>
          <w:color w:val="000000"/>
        </w:rPr>
        <w:t>面</w:t>
      </w:r>
      <w:r>
        <w:rPr>
          <w:rFonts w:ascii="Times New Roman" w:hAnsi="Times New Roman" w:cs="Times New Roman"/>
          <w:color w:val="000000"/>
        </w:rPr>
        <w:t>成本管理办法</w:t>
      </w:r>
    </w:p>
    <w:p>
      <w:pPr>
        <w:pStyle w:val="Normal"/>
        <w:spacing w:lineRule="auto" w:line="360"/>
        <w:rPr>
          <w:rFonts w:ascii="Times New Roman" w:hAnsi="Times New Roman" w:eastAsia="仿宋_GB2312;仿宋" w:cs="Times New Roman"/>
          <w:color w:val="000000"/>
          <w:sz w:val="28"/>
          <w:szCs w:val="28"/>
        </w:rPr>
      </w:pPr>
      <w:r>
        <w:rPr>
          <w:rFonts w:eastAsia="仿宋_GB2312;仿宋" w:cs="Times New Roman"/>
          <w:color w:val="000000"/>
          <w:sz w:val="28"/>
          <w:szCs w:val="28"/>
        </w:rPr>
      </w:r>
    </w:p>
    <w:p>
      <w:pPr>
        <w:pStyle w:val="Normal"/>
        <w:spacing w:lineRule="auto" w:line="360"/>
        <w:jc w:val="center"/>
        <w:rPr>
          <w:b/>
          <w:bCs/>
          <w:color w:val="000000"/>
          <w:sz w:val="28"/>
          <w:szCs w:val="28"/>
        </w:rPr>
      </w:pPr>
      <w:r>
        <w:rPr>
          <w:rFonts w:eastAsia="仿宋_GB2312;仿宋"/>
          <w:b/>
          <w:bCs/>
          <w:color w:val="000000"/>
          <w:sz w:val="28"/>
          <w:szCs w:val="28"/>
        </w:rPr>
        <w:t>第一章</w:t>
      </w:r>
      <w:r>
        <w:rPr>
          <w:rFonts w:eastAsia="Times New Roman"/>
          <w:b/>
          <w:bCs/>
          <w:color w:val="000000"/>
          <w:sz w:val="28"/>
          <w:szCs w:val="28"/>
        </w:rPr>
        <w:t xml:space="preserve">  </w:t>
      </w:r>
      <w:r>
        <w:rPr>
          <w:rFonts w:eastAsia="仿宋_GB2312;仿宋"/>
          <w:b/>
          <w:bCs/>
          <w:color w:val="000000"/>
          <w:sz w:val="28"/>
          <w:szCs w:val="28"/>
        </w:rPr>
        <w:t>总</w:t>
      </w:r>
      <w:r>
        <w:rPr>
          <w:rFonts w:eastAsia="Times New Roman"/>
          <w:b/>
          <w:bCs/>
          <w:color w:val="000000"/>
          <w:sz w:val="28"/>
          <w:szCs w:val="28"/>
        </w:rPr>
        <w:t xml:space="preserve">  </w:t>
      </w:r>
      <w:r>
        <w:rPr>
          <w:rFonts w:eastAsia="仿宋_GB2312;仿宋"/>
          <w:b/>
          <w:bCs/>
          <w:color w:val="000000"/>
          <w:sz w:val="28"/>
          <w:szCs w:val="28"/>
        </w:rPr>
        <w:t>则</w:t>
      </w:r>
    </w:p>
    <w:p>
      <w:pPr>
        <w:pStyle w:val="Normal"/>
        <w:widowControl/>
        <w:spacing w:lineRule="auto" w:line="360"/>
        <w:ind w:firstLine="537" w:right="0"/>
        <w:rPr/>
      </w:pPr>
      <w:r>
        <w:rPr>
          <w:rFonts w:eastAsia="仿宋_GB2312;仿宋"/>
          <w:bCs/>
          <w:color w:val="000000"/>
          <w:kern w:val="0"/>
          <w:sz w:val="28"/>
          <w:szCs w:val="28"/>
        </w:rPr>
        <w:t>第一条</w:t>
      </w:r>
      <w:r>
        <w:rPr>
          <w:rFonts w:eastAsia="Times New Roman"/>
          <w:bCs/>
          <w:color w:val="000000"/>
          <w:kern w:val="0"/>
          <w:sz w:val="28"/>
          <w:szCs w:val="28"/>
        </w:rPr>
        <w:t xml:space="preserve"> </w:t>
      </w:r>
      <w:r>
        <w:rPr>
          <w:rFonts w:eastAsia="Times New Roman"/>
          <w:color w:val="000000"/>
          <w:kern w:val="0"/>
          <w:sz w:val="28"/>
          <w:szCs w:val="28"/>
        </w:rPr>
        <w:t xml:space="preserve"> </w:t>
      </w:r>
      <w:r>
        <w:rPr>
          <w:rFonts w:eastAsia="仿宋_GB2312;仿宋"/>
          <w:color w:val="000000"/>
          <w:kern w:val="0"/>
          <w:sz w:val="28"/>
          <w:szCs w:val="28"/>
        </w:rPr>
        <w:t>为提高本行成本精细化核算水平，建立和完善成本分摊机制，服务于本行多维度盈利分析的需要，</w:t>
      </w:r>
      <w:r>
        <w:rPr>
          <w:rFonts w:ascii="仿宋_GB2312;仿宋" w:hAnsi="仿宋_GB2312;仿宋" w:cs="仿宋" w:eastAsia="仿宋_GB2312;仿宋"/>
          <w:sz w:val="28"/>
          <w:szCs w:val="28"/>
        </w:rPr>
        <w:t>根据</w:t>
      </w:r>
      <w:r>
        <w:rPr>
          <w:rFonts w:eastAsia="仿宋_GB2312;仿宋"/>
          <w:sz w:val="28"/>
          <w:szCs w:val="28"/>
        </w:rPr>
        <w:t>《中华人民共和国商业银行法》</w:t>
      </w:r>
      <w:r>
        <w:rPr>
          <w:rFonts w:ascii="仿宋_GB2312;仿宋" w:hAnsi="仿宋_GB2312;仿宋" w:cs="仿宋" w:eastAsia="仿宋_GB2312;仿宋"/>
          <w:sz w:val="28"/>
          <w:szCs w:val="28"/>
        </w:rPr>
        <w:t>结合本行经营管理实际情况，</w:t>
      </w:r>
      <w:r>
        <w:rPr>
          <w:rFonts w:ascii="仿宋_GB2312;仿宋" w:hAnsi="仿宋_GB2312;仿宋" w:cs="仿宋" w:eastAsia="仿宋_GB2312;仿宋"/>
          <w:sz w:val="28"/>
          <w:szCs w:val="28"/>
        </w:rPr>
        <w:t>特</w:t>
      </w:r>
      <w:r>
        <w:rPr>
          <w:rFonts w:eastAsia="仿宋_GB2312;仿宋"/>
          <w:color w:val="000000"/>
          <w:kern w:val="0"/>
          <w:sz w:val="28"/>
          <w:szCs w:val="28"/>
        </w:rPr>
        <w:t>制订本办法。</w:t>
      </w:r>
    </w:p>
    <w:p>
      <w:pPr>
        <w:pStyle w:val="Normal"/>
        <w:widowControl/>
        <w:spacing w:lineRule="auto" w:line="360"/>
        <w:ind w:firstLine="537" w:right="0"/>
        <w:rPr>
          <w:color w:val="000000"/>
          <w:kern w:val="0"/>
          <w:sz w:val="28"/>
          <w:szCs w:val="28"/>
        </w:rPr>
      </w:pPr>
      <w:r>
        <w:rPr>
          <w:rFonts w:eastAsia="仿宋_GB2312;仿宋"/>
          <w:color w:val="000000"/>
          <w:kern w:val="0"/>
          <w:sz w:val="28"/>
          <w:szCs w:val="28"/>
        </w:rPr>
        <w:t>第二条</w:t>
      </w:r>
      <w:r>
        <w:rPr>
          <w:rFonts w:eastAsia="Times New Roman"/>
          <w:color w:val="000000"/>
          <w:kern w:val="0"/>
          <w:sz w:val="28"/>
          <w:szCs w:val="28"/>
        </w:rPr>
        <w:t xml:space="preserve">  </w:t>
      </w:r>
      <w:r>
        <w:rPr>
          <w:rFonts w:eastAsia="仿宋_GB2312;仿宋"/>
          <w:color w:val="000000"/>
          <w:kern w:val="0"/>
          <w:sz w:val="28"/>
          <w:szCs w:val="28"/>
        </w:rPr>
        <w:t>全成本主要包括：资金成本、运营成本、税务成本、风险成本和资本成本等。全成本管理目标主要包括：全方位管理、全环节管理、全过程管理和全员参与管理。</w:t>
      </w:r>
    </w:p>
    <w:p>
      <w:pPr>
        <w:pStyle w:val="Normal"/>
        <w:widowControl/>
        <w:spacing w:lineRule="auto" w:line="360"/>
        <w:ind w:firstLine="537" w:right="0"/>
        <w:rPr/>
      </w:pPr>
      <w:r>
        <w:rPr>
          <w:rFonts w:eastAsia="仿宋_GB2312;仿宋"/>
          <w:color w:val="000000"/>
          <w:kern w:val="0"/>
          <w:sz w:val="28"/>
          <w:szCs w:val="28"/>
        </w:rPr>
        <w:t>资金成本指资金使用者向资金所有者和总行资金中心支付的占用费和筹集资金，主要以内部资金转移定价进行核算。</w:t>
      </w:r>
    </w:p>
    <w:p>
      <w:pPr>
        <w:pStyle w:val="Normal"/>
        <w:widowControl/>
        <w:spacing w:lineRule="auto" w:line="360"/>
        <w:ind w:firstLine="537" w:right="0"/>
        <w:rPr/>
      </w:pPr>
      <w:r>
        <w:rPr>
          <w:rFonts w:eastAsia="仿宋_GB2312;仿宋"/>
          <w:color w:val="000000"/>
          <w:kern w:val="0"/>
          <w:sz w:val="28"/>
          <w:szCs w:val="28"/>
        </w:rPr>
        <w:t>运营成本指本行为正常开展经营管理活动所发生的成本支出，主要指本行财务核算系统</w:t>
      </w:r>
      <w:r>
        <w:rPr>
          <w:rFonts w:eastAsia="仿宋_GB2312;仿宋"/>
          <w:color w:val="000000"/>
          <w:sz w:val="28"/>
          <w:szCs w:val="28"/>
        </w:rPr>
        <w:t>各核算层级核算的业务及管理费的汇总。</w:t>
      </w:r>
    </w:p>
    <w:p>
      <w:pPr>
        <w:pStyle w:val="Normal"/>
        <w:widowControl/>
        <w:spacing w:lineRule="auto" w:line="360"/>
        <w:ind w:firstLine="537" w:right="0"/>
        <w:rPr>
          <w:rFonts w:eastAsia="仿宋_GB2312;仿宋"/>
          <w:color w:val="000000"/>
          <w:sz w:val="28"/>
          <w:szCs w:val="28"/>
        </w:rPr>
      </w:pPr>
      <w:r>
        <w:rPr>
          <w:rFonts w:eastAsia="仿宋_GB2312;仿宋"/>
          <w:color w:val="000000"/>
          <w:sz w:val="28"/>
          <w:szCs w:val="28"/>
        </w:rPr>
        <w:t>税务成本指全行根据相关规定缴纳的税款，包含增值税、企业所得税等。</w:t>
      </w:r>
    </w:p>
    <w:p>
      <w:pPr>
        <w:pStyle w:val="Normal"/>
        <w:widowControl/>
        <w:spacing w:lineRule="auto" w:line="360"/>
        <w:ind w:firstLine="537" w:right="0"/>
        <w:rPr>
          <w:rFonts w:eastAsia="仿宋_GB2312;仿宋"/>
          <w:color w:val="000000"/>
          <w:sz w:val="28"/>
          <w:szCs w:val="28"/>
        </w:rPr>
      </w:pPr>
      <w:r>
        <w:rPr>
          <w:rFonts w:eastAsia="仿宋_GB2312;仿宋"/>
          <w:color w:val="000000"/>
          <w:sz w:val="28"/>
          <w:szCs w:val="28"/>
        </w:rPr>
        <w:t>风险成本指全行承担的信用风险、市场风险、操作风险、流动性风险等导致的可预期损失。本行目前以信用风险资产拨备为主。</w:t>
      </w:r>
    </w:p>
    <w:p>
      <w:pPr>
        <w:pStyle w:val="Normal"/>
        <w:widowControl/>
        <w:spacing w:lineRule="auto" w:line="360"/>
        <w:ind w:firstLine="537" w:right="0"/>
        <w:rPr>
          <w:rFonts w:eastAsia="仿宋_GB2312;仿宋"/>
          <w:color w:val="000000"/>
          <w:sz w:val="28"/>
          <w:szCs w:val="28"/>
        </w:rPr>
      </w:pPr>
      <w:r>
        <w:rPr>
          <w:rFonts w:eastAsia="仿宋_GB2312;仿宋"/>
          <w:color w:val="000000"/>
          <w:sz w:val="28"/>
          <w:szCs w:val="28"/>
        </w:rPr>
        <w:t>资本成本指本行股东为覆盖非预期损失而保留资本所产生的机会成本。</w:t>
      </w:r>
    </w:p>
    <w:p>
      <w:pPr>
        <w:pStyle w:val="Normal"/>
        <w:widowControl/>
        <w:numPr>
          <w:ilvl w:val="0"/>
          <w:numId w:val="2"/>
        </w:numPr>
        <w:spacing w:lineRule="auto" w:line="360"/>
        <w:ind w:firstLine="537" w:left="0" w:right="0"/>
        <w:rPr>
          <w:rFonts w:eastAsia="仿宋_GB2312;仿宋"/>
          <w:color w:val="000000"/>
          <w:sz w:val="28"/>
          <w:szCs w:val="28"/>
        </w:rPr>
      </w:pPr>
      <w:r>
        <w:rPr>
          <w:rFonts w:eastAsia="Times New Roman"/>
          <w:color w:val="000000"/>
          <w:sz w:val="28"/>
          <w:szCs w:val="28"/>
        </w:rPr>
        <w:t xml:space="preserve"> </w:t>
      </w:r>
      <w:r>
        <w:rPr>
          <w:rFonts w:eastAsia="仿宋_GB2312;仿宋"/>
          <w:color w:val="000000"/>
          <w:sz w:val="28"/>
          <w:szCs w:val="28"/>
        </w:rPr>
        <w:t>本行资金成本以内部资金转移定价进行核算，以“全额资金管理”模式进行管理。总行全额转移（出售或收购）各经营单位每一笔资金，并集中进行管理。</w:t>
      </w:r>
    </w:p>
    <w:p>
      <w:pPr>
        <w:pStyle w:val="Normal"/>
        <w:widowControl/>
        <w:spacing w:lineRule="auto" w:line="360"/>
        <w:ind w:firstLine="539" w:right="0"/>
        <w:rPr/>
      </w:pPr>
      <w:r>
        <w:rPr>
          <w:rFonts w:eastAsia="仿宋_GB2312;仿宋"/>
          <w:b/>
          <w:bCs/>
          <w:color w:val="000000"/>
          <w:kern w:val="0"/>
          <w:sz w:val="28"/>
          <w:szCs w:val="28"/>
        </w:rPr>
        <w:t>第四条</w:t>
      </w:r>
      <w:r>
        <w:rPr>
          <w:rFonts w:eastAsia="Times New Roman"/>
          <w:color w:val="000000"/>
          <w:kern w:val="0"/>
          <w:sz w:val="28"/>
          <w:szCs w:val="28"/>
        </w:rPr>
        <w:t xml:space="preserve">  </w:t>
      </w:r>
      <w:r>
        <w:rPr>
          <w:rFonts w:eastAsia="仿宋_GB2312;仿宋"/>
          <w:color w:val="000000"/>
          <w:kern w:val="0"/>
          <w:sz w:val="28"/>
          <w:szCs w:val="28"/>
        </w:rPr>
        <w:t>运营成本、税务成本、风险成本适用于本行成本分摊与多维度成本核算管理。</w:t>
      </w:r>
    </w:p>
    <w:p>
      <w:pPr>
        <w:pStyle w:val="Normal"/>
        <w:widowControl/>
        <w:spacing w:lineRule="auto" w:line="360"/>
        <w:ind w:firstLine="544" w:right="0"/>
        <w:rPr/>
      </w:pPr>
      <w:r>
        <w:rPr>
          <w:rFonts w:eastAsia="仿宋_GB2312;仿宋"/>
          <w:b/>
          <w:bCs/>
          <w:color w:val="000000"/>
          <w:kern w:val="0"/>
          <w:sz w:val="28"/>
          <w:szCs w:val="28"/>
        </w:rPr>
        <w:t>第五条</w:t>
      </w:r>
      <w:r>
        <w:rPr>
          <w:rFonts w:eastAsia="Times New Roman"/>
          <w:b/>
          <w:bCs/>
          <w:color w:val="000000"/>
          <w:kern w:val="0"/>
          <w:sz w:val="28"/>
          <w:szCs w:val="28"/>
        </w:rPr>
        <w:t xml:space="preserve">  </w:t>
      </w:r>
      <w:r>
        <w:rPr>
          <w:rFonts w:eastAsia="仿宋_GB2312;仿宋"/>
          <w:color w:val="000000"/>
          <w:kern w:val="0"/>
          <w:sz w:val="28"/>
          <w:szCs w:val="28"/>
        </w:rPr>
        <w:t>成本分摊是指将本行财务核算系统</w:t>
      </w:r>
      <w:r>
        <w:rPr>
          <w:rFonts w:eastAsia="仿宋_GB2312;仿宋"/>
          <w:color w:val="000000"/>
          <w:sz w:val="28"/>
          <w:szCs w:val="28"/>
        </w:rPr>
        <w:t>各核算层级核算的成本</w:t>
      </w:r>
      <w:r>
        <w:rPr>
          <w:rFonts w:eastAsia="仿宋_GB2312;仿宋"/>
          <w:color w:val="000000"/>
          <w:kern w:val="0"/>
          <w:sz w:val="28"/>
          <w:szCs w:val="28"/>
        </w:rPr>
        <w:t>按照一定规则、方法和路径归集、分摊至本层级产品，核算出本层级产品的成本费率的过程。</w:t>
      </w:r>
    </w:p>
    <w:p>
      <w:pPr>
        <w:pStyle w:val="Normal"/>
        <w:widowControl/>
        <w:spacing w:lineRule="auto" w:line="360"/>
        <w:ind w:firstLine="539" w:right="0"/>
        <w:rPr/>
      </w:pPr>
      <w:r>
        <w:rPr>
          <w:rFonts w:eastAsia="仿宋_GB2312;仿宋"/>
          <w:b/>
          <w:bCs/>
          <w:color w:val="000000"/>
          <w:kern w:val="0"/>
          <w:sz w:val="28"/>
          <w:szCs w:val="28"/>
        </w:rPr>
        <w:t>第六条</w:t>
      </w:r>
      <w:r>
        <w:rPr>
          <w:rFonts w:eastAsia="Times New Roman"/>
          <w:b/>
          <w:bCs/>
          <w:color w:val="000000"/>
          <w:kern w:val="0"/>
          <w:sz w:val="28"/>
          <w:szCs w:val="28"/>
        </w:rPr>
        <w:t xml:space="preserve">  </w:t>
      </w:r>
      <w:r>
        <w:rPr>
          <w:rFonts w:eastAsia="仿宋_GB2312;仿宋"/>
          <w:color w:val="000000"/>
          <w:kern w:val="0"/>
          <w:sz w:val="28"/>
          <w:szCs w:val="28"/>
        </w:rPr>
        <w:t>多维度成本核算是指根据产品与其他维度的归属关系，按照各层级产品的成本费率核算出产品、机构、条线、部门、客户、客户经理等多维度运营成本的过程。</w:t>
      </w:r>
    </w:p>
    <w:p>
      <w:pPr>
        <w:pStyle w:val="ListParagraph"/>
        <w:numPr>
          <w:ilvl w:val="0"/>
          <w:numId w:val="0"/>
        </w:numPr>
        <w:spacing w:lineRule="auto" w:line="360"/>
        <w:ind w:left="0" w:firstLine="539" w:right="0"/>
        <w:outlineLvl w:val="0"/>
        <w:rPr/>
      </w:pPr>
      <w:r>
        <w:rPr>
          <w:rFonts w:eastAsia="仿宋_GB2312;仿宋"/>
          <w:b/>
          <w:bCs/>
          <w:color w:val="000000"/>
          <w:sz w:val="28"/>
          <w:szCs w:val="28"/>
        </w:rPr>
        <w:t>第七条</w:t>
      </w:r>
      <w:r>
        <w:rPr>
          <w:rFonts w:eastAsia="Times New Roman"/>
          <w:color w:val="000000"/>
          <w:sz w:val="28"/>
          <w:szCs w:val="28"/>
        </w:rPr>
        <w:t xml:space="preserve">  </w:t>
      </w:r>
      <w:r>
        <w:rPr>
          <w:rFonts w:eastAsia="仿宋_GB2312;仿宋"/>
          <w:color w:val="000000"/>
          <w:sz w:val="28"/>
          <w:szCs w:val="28"/>
        </w:rPr>
        <w:t>根据本行现阶段管理会计系统建设情况，多维度盈利分析包括产品、机构、条线、部门、客户、客户经理、渠道共七个维度：</w:t>
      </w:r>
    </w:p>
    <w:p>
      <w:pPr>
        <w:pStyle w:val="ListParagraph"/>
        <w:numPr>
          <w:ilvl w:val="0"/>
          <w:numId w:val="0"/>
        </w:numPr>
        <w:spacing w:lineRule="auto" w:line="360"/>
        <w:ind w:left="0" w:firstLine="537" w:right="0"/>
        <w:outlineLvl w:val="0"/>
        <w:rPr>
          <w:rFonts w:eastAsia="仿宋_GB2312;仿宋"/>
          <w:color w:val="000000"/>
          <w:sz w:val="28"/>
          <w:szCs w:val="28"/>
        </w:rPr>
      </w:pPr>
      <w:r>
        <w:rPr>
          <w:rFonts w:eastAsia="仿宋_GB2312;仿宋"/>
          <w:color w:val="000000"/>
          <w:sz w:val="28"/>
          <w:szCs w:val="28"/>
        </w:rPr>
        <w:t>㈠产品维度：是指具有管理价值、源系统数据支持损益独立核算的最小粒度的基础产品。</w:t>
      </w:r>
    </w:p>
    <w:p>
      <w:pPr>
        <w:pStyle w:val="ListParagraph"/>
        <w:numPr>
          <w:ilvl w:val="0"/>
          <w:numId w:val="0"/>
        </w:numPr>
        <w:spacing w:lineRule="auto" w:line="360"/>
        <w:ind w:left="0" w:firstLine="542" w:right="0"/>
        <w:outlineLvl w:val="0"/>
        <w:rPr>
          <w:rFonts w:eastAsia="仿宋_GB2312;仿宋"/>
          <w:color w:val="000000"/>
          <w:sz w:val="28"/>
          <w:szCs w:val="28"/>
        </w:rPr>
      </w:pPr>
      <w:r>
        <w:rPr>
          <w:rFonts w:eastAsia="仿宋_GB2312;仿宋"/>
          <w:color w:val="000000"/>
          <w:sz w:val="28"/>
          <w:szCs w:val="28"/>
        </w:rPr>
        <w:t>㈡机构维度：是指承担经营责任的经营机构。</w:t>
      </w:r>
    </w:p>
    <w:p>
      <w:pPr>
        <w:pStyle w:val="ListParagraph"/>
        <w:numPr>
          <w:ilvl w:val="0"/>
          <w:numId w:val="0"/>
        </w:numPr>
        <w:spacing w:lineRule="auto" w:line="360"/>
        <w:ind w:left="0" w:firstLine="542" w:right="0"/>
        <w:outlineLvl w:val="0"/>
        <w:rPr>
          <w:rFonts w:eastAsia="仿宋_GB2312;仿宋"/>
          <w:color w:val="000000"/>
          <w:sz w:val="28"/>
          <w:szCs w:val="28"/>
        </w:rPr>
      </w:pPr>
      <w:r>
        <w:rPr>
          <w:rFonts w:eastAsia="仿宋_GB2312;仿宋"/>
          <w:color w:val="000000"/>
          <w:sz w:val="28"/>
          <w:szCs w:val="28"/>
        </w:rPr>
        <w:t>㈢条线维度：是指创造利润的业务条线，包括对公、对私、资金、中间业务等条线。</w:t>
      </w:r>
    </w:p>
    <w:p>
      <w:pPr>
        <w:pStyle w:val="ListParagraph"/>
        <w:numPr>
          <w:ilvl w:val="0"/>
          <w:numId w:val="0"/>
        </w:numPr>
        <w:spacing w:lineRule="auto" w:line="360"/>
        <w:ind w:left="0" w:firstLine="542" w:right="0"/>
        <w:outlineLvl w:val="0"/>
        <w:rPr>
          <w:rFonts w:eastAsia="仿宋_GB2312;仿宋"/>
          <w:color w:val="000000"/>
          <w:sz w:val="28"/>
          <w:szCs w:val="28"/>
        </w:rPr>
      </w:pPr>
      <w:r>
        <w:rPr>
          <w:rFonts w:eastAsia="仿宋_GB2312;仿宋"/>
          <w:color w:val="000000"/>
          <w:sz w:val="28"/>
          <w:szCs w:val="28"/>
        </w:rPr>
        <w:t>㈣部门维度：是指条线内部按照职责细分的总行业务部门，即直接经营管理部门。</w:t>
      </w:r>
    </w:p>
    <w:p>
      <w:pPr>
        <w:pStyle w:val="ListParagraph"/>
        <w:numPr>
          <w:ilvl w:val="0"/>
          <w:numId w:val="0"/>
        </w:numPr>
        <w:spacing w:lineRule="auto" w:line="360"/>
        <w:ind w:left="0" w:firstLine="542" w:right="0"/>
        <w:outlineLvl w:val="0"/>
        <w:rPr>
          <w:rFonts w:eastAsia="仿宋_GB2312;仿宋"/>
          <w:color w:val="000000"/>
          <w:sz w:val="28"/>
          <w:szCs w:val="28"/>
        </w:rPr>
      </w:pPr>
      <w:r>
        <w:rPr>
          <w:rFonts w:eastAsia="仿宋_GB2312;仿宋"/>
          <w:color w:val="000000"/>
          <w:sz w:val="28"/>
          <w:szCs w:val="28"/>
        </w:rPr>
        <w:t>㈤客户维度：是指本行为其提供产品或服务的个人或组织。</w:t>
      </w:r>
    </w:p>
    <w:p>
      <w:pPr>
        <w:pStyle w:val="ListParagraph"/>
        <w:numPr>
          <w:ilvl w:val="0"/>
          <w:numId w:val="0"/>
        </w:numPr>
        <w:spacing w:lineRule="auto" w:line="360"/>
        <w:ind w:left="0" w:firstLine="542" w:right="0"/>
        <w:outlineLvl w:val="0"/>
        <w:rPr>
          <w:rFonts w:eastAsia="仿宋_GB2312;仿宋"/>
          <w:color w:val="000000"/>
          <w:sz w:val="28"/>
          <w:szCs w:val="28"/>
        </w:rPr>
      </w:pPr>
      <w:r>
        <w:rPr>
          <w:rFonts w:eastAsia="仿宋_GB2312;仿宋"/>
          <w:color w:val="000000"/>
          <w:sz w:val="28"/>
          <w:szCs w:val="28"/>
        </w:rPr>
        <w:t>㈥客户经理维度：是指专职维护本行客户，协助其获取本行各类产品或服务的本行员工，客户经理名单由人力资源部提供并要求与绩效考核系统一致。</w:t>
      </w:r>
    </w:p>
    <w:p>
      <w:pPr>
        <w:pStyle w:val="ListParagraph"/>
        <w:numPr>
          <w:ilvl w:val="0"/>
          <w:numId w:val="0"/>
        </w:numPr>
        <w:spacing w:lineRule="auto" w:line="360"/>
        <w:ind w:left="0" w:firstLine="542" w:right="0"/>
        <w:outlineLvl w:val="0"/>
        <w:rPr/>
      </w:pPr>
      <w:r>
        <w:rPr>
          <w:rFonts w:eastAsia="仿宋_GB2312;仿宋"/>
          <w:color w:val="000000"/>
          <w:sz w:val="28"/>
          <w:szCs w:val="28"/>
        </w:rPr>
        <w:t>㈦渠道维度：是指本行向客户提供各类产品和服务的平台和途径。</w:t>
      </w:r>
    </w:p>
    <w:p>
      <w:pPr>
        <w:pStyle w:val="ListParagraph"/>
        <w:numPr>
          <w:ilvl w:val="0"/>
          <w:numId w:val="0"/>
        </w:numPr>
        <w:spacing w:lineRule="auto" w:line="360"/>
        <w:ind w:left="0" w:firstLine="539" w:right="0"/>
        <w:outlineLvl w:val="0"/>
        <w:rPr/>
      </w:pPr>
      <w:r>
        <w:rPr>
          <w:rFonts w:eastAsia="仿宋_GB2312;仿宋"/>
          <w:b/>
          <w:bCs/>
          <w:color w:val="000000"/>
          <w:sz w:val="28"/>
          <w:szCs w:val="28"/>
        </w:rPr>
        <w:t>第八条</w:t>
      </w:r>
      <w:r>
        <w:rPr>
          <w:rFonts w:eastAsia="Times New Roman"/>
          <w:color w:val="000000"/>
          <w:sz w:val="28"/>
          <w:szCs w:val="28"/>
        </w:rPr>
        <w:t xml:space="preserve">  </w:t>
      </w:r>
      <w:r>
        <w:rPr>
          <w:rFonts w:eastAsia="仿宋_GB2312;仿宋"/>
          <w:color w:val="000000"/>
          <w:sz w:val="28"/>
          <w:szCs w:val="28"/>
        </w:rPr>
        <w:t>基本原则</w:t>
      </w:r>
    </w:p>
    <w:p>
      <w:pPr>
        <w:pStyle w:val="Normal"/>
        <w:spacing w:lineRule="auto" w:line="360"/>
        <w:ind w:firstLine="537" w:right="0"/>
        <w:rPr/>
      </w:pPr>
      <w:r>
        <w:rPr>
          <w:rFonts w:eastAsia="仿宋_GB2312;仿宋"/>
          <w:color w:val="000000"/>
          <w:kern w:val="0"/>
          <w:sz w:val="28"/>
          <w:szCs w:val="28"/>
        </w:rPr>
        <w:t>为提高成本分摊效率，本行成本分摊与多维度成本核算</w:t>
      </w:r>
      <w:r>
        <w:rPr>
          <w:rFonts w:eastAsia="仿宋_GB2312;仿宋"/>
          <w:color w:val="000000"/>
          <w:sz w:val="28"/>
          <w:szCs w:val="28"/>
        </w:rPr>
        <w:t>遵循以下原则：</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㈠统一规则。本行执行统一的成本分摊和多维度成本核算规则。</w:t>
      </w:r>
    </w:p>
    <w:p>
      <w:pPr>
        <w:pStyle w:val="Normal"/>
        <w:spacing w:lineRule="auto" w:line="360"/>
        <w:ind w:firstLine="537" w:right="0"/>
        <w:rPr/>
      </w:pPr>
      <w:r>
        <w:rPr>
          <w:rFonts w:eastAsia="仿宋_GB2312;仿宋"/>
          <w:color w:val="000000"/>
          <w:sz w:val="28"/>
          <w:szCs w:val="28"/>
        </w:rPr>
        <w:t>㈡平行分摊。</w:t>
      </w:r>
      <w:r>
        <w:rPr>
          <w:rFonts w:eastAsia="仿宋_GB2312;仿宋"/>
          <w:color w:val="000000"/>
          <w:kern w:val="0"/>
          <w:sz w:val="28"/>
          <w:szCs w:val="28"/>
        </w:rPr>
        <w:t>各核算层级的</w:t>
      </w:r>
      <w:r>
        <w:rPr>
          <w:rFonts w:eastAsia="仿宋_GB2312;仿宋"/>
          <w:color w:val="000000"/>
          <w:sz w:val="28"/>
          <w:szCs w:val="28"/>
        </w:rPr>
        <w:t>成本</w:t>
      </w:r>
      <w:r>
        <w:rPr>
          <w:rFonts w:eastAsia="仿宋_GB2312;仿宋"/>
          <w:color w:val="000000"/>
          <w:kern w:val="0"/>
          <w:sz w:val="28"/>
          <w:szCs w:val="28"/>
        </w:rPr>
        <w:t>向本层级产品归集和分摊。</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㈢精细核算。成本列支时应明确受益对象，按照“谁受益、谁承担”的原则进行精细化成本核算并记录多维度受益信息。</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㈣直接成本最大化。先归集后分摊，对能够明确直接受益对象的成本应优先归集至相应受益对象上，只有无法明确直接受益对象的成本再进行成本分摊。</w:t>
      </w:r>
    </w:p>
    <w:p>
      <w:pPr>
        <w:pStyle w:val="Normal"/>
        <w:spacing w:lineRule="auto" w:line="360"/>
        <w:ind w:firstLine="570" w:right="0"/>
        <w:rPr/>
      </w:pPr>
      <w:r>
        <w:rPr>
          <w:rFonts w:eastAsia="仿宋_GB2312;仿宋"/>
          <w:color w:val="000000"/>
          <w:sz w:val="28"/>
          <w:szCs w:val="28"/>
        </w:rPr>
        <w:t>机构、条线（部门）、客户、客户经理等维度的运营成本、税务成本、风险成本、资本成本根据产品与其归属关系，按照各级产品的成本（率）计算得出。</w:t>
      </w:r>
    </w:p>
    <w:p>
      <w:pPr>
        <w:pStyle w:val="Normal"/>
        <w:widowControl/>
        <w:numPr>
          <w:ilvl w:val="0"/>
          <w:numId w:val="3"/>
        </w:numPr>
        <w:spacing w:lineRule="auto" w:line="360"/>
        <w:ind w:firstLine="537" w:left="0" w:right="0"/>
        <w:rPr>
          <w:rFonts w:eastAsia="仿宋_GB2312;仿宋"/>
          <w:color w:val="000000"/>
          <w:sz w:val="28"/>
          <w:szCs w:val="28"/>
        </w:rPr>
      </w:pPr>
      <w:r>
        <w:rPr>
          <w:rFonts w:eastAsia="Times New Roman"/>
          <w:color w:val="000000"/>
          <w:sz w:val="28"/>
          <w:szCs w:val="28"/>
        </w:rPr>
        <w:t xml:space="preserve"> </w:t>
      </w:r>
      <w:r>
        <w:rPr>
          <w:rFonts w:eastAsia="仿宋_GB2312;仿宋"/>
          <w:color w:val="000000"/>
          <w:sz w:val="28"/>
          <w:szCs w:val="28"/>
        </w:rPr>
        <w:t>本行成本分摊工作由总行计划财务部牵头，总行各部（室）、各分支机构根据职能分工和管理需要，协同完成各项管理工作。</w:t>
      </w:r>
    </w:p>
    <w:p>
      <w:pPr>
        <w:pStyle w:val="Normal"/>
        <w:widowControl/>
        <w:spacing w:lineRule="auto" w:line="360"/>
        <w:ind w:firstLine="537" w:right="0"/>
        <w:rPr>
          <w:rFonts w:eastAsia="仿宋_GB2312;仿宋"/>
          <w:color w:val="000000"/>
          <w:sz w:val="28"/>
          <w:szCs w:val="28"/>
        </w:rPr>
      </w:pPr>
      <w:r>
        <w:rPr>
          <w:rFonts w:eastAsia="仿宋_GB2312;仿宋"/>
          <w:color w:val="000000"/>
          <w:sz w:val="28"/>
          <w:szCs w:val="28"/>
        </w:rPr>
        <w:t>年初计划财务部依据全行成本预算、上年度经营情况、本年度经营策略、同业竞争态势和市场变化趋势对各经营单位进行目标成本分解，并报全面预算管理委员会审批。</w:t>
      </w:r>
    </w:p>
    <w:p>
      <w:pPr>
        <w:pStyle w:val="Normal"/>
        <w:widowControl/>
        <w:spacing w:lineRule="auto" w:line="360"/>
        <w:ind w:firstLine="537" w:right="0"/>
        <w:rPr/>
      </w:pPr>
      <w:r>
        <w:rPr>
          <w:rFonts w:eastAsia="仿宋_GB2312;仿宋"/>
          <w:color w:val="000000"/>
          <w:sz w:val="28"/>
          <w:szCs w:val="28"/>
        </w:rPr>
        <w:t>计划财务部定期对各经营单位全成本执行情况进行监测，并对成本偏差较大的单位进行分析，形成报告，报全面预算管理委员会，同时依据实际情况对目标调整，报全面预算管理委员会审批。</w:t>
      </w:r>
    </w:p>
    <w:p>
      <w:pPr>
        <w:pStyle w:val="Normal"/>
        <w:widowControl/>
        <w:spacing w:lineRule="auto" w:line="360"/>
        <w:ind w:firstLine="537" w:right="0"/>
        <w:rPr/>
      </w:pPr>
      <w:r>
        <w:rPr>
          <w:rFonts w:eastAsia="仿宋_GB2312;仿宋"/>
          <w:color w:val="000000"/>
          <w:sz w:val="28"/>
          <w:szCs w:val="28"/>
        </w:rPr>
        <w:t>审计部每年至少对全成本管理情况进行一次审计，并将相关情况形成报告报董事会。</w:t>
      </w:r>
    </w:p>
    <w:p>
      <w:pPr>
        <w:pStyle w:val="Normal"/>
        <w:spacing w:lineRule="auto" w:line="360"/>
        <w:rPr>
          <w:rFonts w:eastAsia="仿宋_GB2312;仿宋"/>
          <w:b/>
          <w:bCs/>
          <w:color w:val="000000"/>
          <w:sz w:val="28"/>
          <w:szCs w:val="28"/>
        </w:rPr>
      </w:pPr>
      <w:r>
        <w:rPr>
          <w:rFonts w:eastAsia="仿宋_GB2312;仿宋"/>
          <w:b/>
          <w:bCs/>
          <w:color w:val="000000"/>
          <w:sz w:val="28"/>
          <w:szCs w:val="28"/>
        </w:rPr>
      </w:r>
    </w:p>
    <w:p>
      <w:pPr>
        <w:pStyle w:val="Normal"/>
        <w:spacing w:lineRule="auto" w:line="360"/>
        <w:jc w:val="center"/>
        <w:rPr>
          <w:b/>
          <w:bCs/>
          <w:color w:val="000000"/>
          <w:sz w:val="28"/>
          <w:szCs w:val="28"/>
        </w:rPr>
      </w:pPr>
      <w:r>
        <w:rPr>
          <w:rFonts w:eastAsia="仿宋_GB2312;仿宋"/>
          <w:b/>
          <w:bCs/>
          <w:color w:val="000000"/>
          <w:sz w:val="28"/>
          <w:szCs w:val="28"/>
        </w:rPr>
        <w:t>第二章</w:t>
      </w:r>
      <w:r>
        <w:rPr>
          <w:rFonts w:eastAsia="Times New Roman"/>
          <w:b/>
          <w:bCs/>
          <w:color w:val="000000"/>
          <w:sz w:val="28"/>
          <w:szCs w:val="28"/>
        </w:rPr>
        <w:t xml:space="preserve">  </w:t>
      </w:r>
      <w:r>
        <w:rPr>
          <w:rFonts w:eastAsia="仿宋_GB2312;仿宋"/>
          <w:b/>
          <w:bCs/>
          <w:color w:val="000000"/>
          <w:sz w:val="28"/>
          <w:szCs w:val="28"/>
        </w:rPr>
        <w:t>成本分摊</w:t>
      </w:r>
    </w:p>
    <w:p>
      <w:pPr>
        <w:pStyle w:val="ListParagraph"/>
        <w:numPr>
          <w:ilvl w:val="0"/>
          <w:numId w:val="0"/>
        </w:numPr>
        <w:spacing w:lineRule="auto" w:line="360"/>
        <w:ind w:left="0" w:firstLine="539" w:right="0"/>
        <w:outlineLvl w:val="0"/>
        <w:rPr/>
      </w:pPr>
      <w:r>
        <w:rPr>
          <w:rFonts w:eastAsia="仿宋_GB2312;仿宋"/>
          <w:b/>
          <w:bCs/>
          <w:color w:val="000000"/>
          <w:sz w:val="28"/>
          <w:szCs w:val="28"/>
        </w:rPr>
        <w:t>第十条</w:t>
      </w:r>
      <w:r>
        <w:rPr>
          <w:rFonts w:eastAsia="Times New Roman"/>
          <w:color w:val="000000"/>
          <w:sz w:val="28"/>
          <w:szCs w:val="28"/>
        </w:rPr>
        <w:t xml:space="preserve">  </w:t>
      </w:r>
      <w:r>
        <w:rPr>
          <w:rFonts w:eastAsia="仿宋_GB2312;仿宋"/>
          <w:color w:val="000000"/>
          <w:sz w:val="28"/>
          <w:szCs w:val="28"/>
        </w:rPr>
        <w:t>成本分摊的直接受益对象是各核算层级的责任中心，最终受益对象是产品。</w:t>
      </w:r>
    </w:p>
    <w:p>
      <w:pPr>
        <w:pStyle w:val="ListParagraph"/>
        <w:numPr>
          <w:ilvl w:val="0"/>
          <w:numId w:val="0"/>
        </w:numPr>
        <w:spacing w:lineRule="auto" w:line="360"/>
        <w:ind w:left="0" w:firstLine="539" w:right="0"/>
        <w:outlineLvl w:val="0"/>
        <w:rPr/>
      </w:pPr>
      <w:r>
        <w:rPr>
          <w:rFonts w:eastAsia="仿宋_GB2312;仿宋"/>
          <w:b/>
          <w:bCs/>
          <w:color w:val="000000"/>
          <w:sz w:val="28"/>
          <w:szCs w:val="28"/>
        </w:rPr>
        <w:t>第十一条</w:t>
      </w:r>
      <w:r>
        <w:rPr>
          <w:rFonts w:eastAsia="Times New Roman"/>
          <w:color w:val="000000"/>
          <w:sz w:val="28"/>
          <w:szCs w:val="28"/>
        </w:rPr>
        <w:t xml:space="preserve">  </w:t>
      </w:r>
      <w:r>
        <w:rPr>
          <w:rFonts w:eastAsia="仿宋_GB2312;仿宋"/>
          <w:color w:val="000000"/>
          <w:sz w:val="28"/>
          <w:szCs w:val="28"/>
        </w:rPr>
        <w:t>根据职责分工，将本行各核算层级下属机构的内设部室分为三大类责任中心。责任中心是指具有一定管理权限，并承担相应经济责任的内部责任单元。</w:t>
      </w:r>
    </w:p>
    <w:p>
      <w:pPr>
        <w:pStyle w:val="Normal"/>
        <w:spacing w:lineRule="auto" w:line="360"/>
        <w:ind w:firstLine="537" w:right="0"/>
        <w:rPr/>
      </w:pPr>
      <w:r>
        <w:fldChar w:fldCharType="begin"/>
      </w:r>
      <w:r>
        <w:rPr>
          <w:sz w:val="28"/>
          <w:szCs w:val="28"/>
          <w:rFonts w:eastAsia="仿宋_GB2312;仿宋"/>
          <w:color w:val="000000"/>
          <w:lang w:val="zh-CN" w:eastAsia="zh-CN"/>
        </w:rPr>
        <w:instrText xml:space="preserve"> = 1 \* GB4 </w:instrText>
      </w:r>
      <w:r>
        <w:rPr>
          <w:rFonts w:eastAsia="仿宋_GB2312;仿宋"/>
          <w:color w:val="000000"/>
          <w:sz w:val="28"/>
          <w:szCs w:val="28"/>
          <w:lang w:val="zh-CN" w:eastAsia="zh-CN"/>
        </w:rPr>
      </w:r>
      <w:r>
        <w:rPr>
          <w:sz w:val="28"/>
          <w:szCs w:val="28"/>
          <w:rFonts w:eastAsia="仿宋_GB2312;仿宋"/>
          <w:color w:val="000000"/>
          <w:lang w:val="zh-CN" w:eastAsia="zh-CN"/>
        </w:rPr>
        <w:fldChar w:fldCharType="separate"/>
      </w:r>
      <w:r>
        <w:rPr>
          <w:rFonts w:eastAsia="仿宋_GB2312;仿宋"/>
          <w:color w:val="000000"/>
          <w:sz w:val="28"/>
          <w:szCs w:val="28"/>
          <w:lang w:val="zh-CN" w:eastAsia="zh-CN"/>
        </w:rPr>
      </w:r>
      <w:r>
        <w:rPr>
          <w:rFonts w:eastAsia="仿宋_GB2312;仿宋"/>
          <w:color w:val="000000"/>
          <w:sz w:val="28"/>
          <w:szCs w:val="28"/>
          <w:lang w:val="zh-CN" w:eastAsia="zh-CN"/>
        </w:rPr>
        <w:t>㈠</w:t>
      </w:r>
      <w:r>
        <w:rPr>
          <w:rFonts w:eastAsia="仿宋_GB2312;仿宋"/>
          <w:color w:val="000000"/>
          <w:sz w:val="28"/>
          <w:szCs w:val="28"/>
          <w:lang w:val="zh-CN" w:eastAsia="zh-CN"/>
        </w:rPr>
      </w:r>
      <w:r>
        <w:rPr>
          <w:sz w:val="28"/>
          <w:szCs w:val="28"/>
          <w:rFonts w:eastAsia="仿宋_GB2312;仿宋"/>
          <w:color w:val="000000"/>
          <w:lang w:val="zh-CN" w:eastAsia="zh-CN"/>
        </w:rPr>
        <w:fldChar w:fldCharType="end"/>
      </w:r>
      <w:r>
        <w:rPr>
          <w:rFonts w:eastAsia="仿宋_GB2312;仿宋"/>
          <w:color w:val="000000"/>
          <w:sz w:val="28"/>
          <w:szCs w:val="28"/>
        </w:rPr>
        <w:t>服务中心，属于后台部门，以其他部门为服务对象，与业务没有直接关系。不接受其他责任中心向其分摊成本，其成本按不同类别向营业网点分摊。包括董事会办公室、监事会办公室、办公室、计划财务部、审计部、人力资源部、信息科技部、监察保卫部、工会、经营管理层。</w:t>
      </w:r>
    </w:p>
    <w:p>
      <w:pPr>
        <w:pStyle w:val="Normal"/>
        <w:spacing w:lineRule="auto" w:line="360"/>
        <w:ind w:firstLine="537" w:right="0"/>
        <w:rPr/>
      </w:pPr>
      <w:r>
        <w:fldChar w:fldCharType="begin"/>
      </w:r>
      <w:r>
        <w:rPr>
          <w:sz w:val="28"/>
          <w:szCs w:val="28"/>
          <w:rFonts w:eastAsia="仿宋_GB2312;仿宋"/>
          <w:color w:val="000000"/>
          <w:lang w:val="zh-CN" w:eastAsia="zh-CN"/>
        </w:rPr>
        <w:instrText xml:space="preserve"> = 2 \* GB4 </w:instrText>
      </w:r>
      <w:r>
        <w:rPr>
          <w:rFonts w:eastAsia="仿宋_GB2312;仿宋"/>
          <w:color w:val="000000"/>
          <w:sz w:val="28"/>
          <w:szCs w:val="28"/>
          <w:lang w:val="zh-CN" w:eastAsia="zh-CN"/>
        </w:rPr>
      </w:r>
      <w:r>
        <w:rPr>
          <w:sz w:val="28"/>
          <w:szCs w:val="28"/>
          <w:rFonts w:eastAsia="仿宋_GB2312;仿宋"/>
          <w:color w:val="000000"/>
          <w:lang w:val="zh-CN" w:eastAsia="zh-CN"/>
        </w:rPr>
        <w:fldChar w:fldCharType="separate"/>
      </w:r>
      <w:r>
        <w:rPr>
          <w:rFonts w:eastAsia="仿宋_GB2312;仿宋"/>
          <w:color w:val="000000"/>
          <w:sz w:val="28"/>
          <w:szCs w:val="28"/>
          <w:lang w:val="zh-CN" w:eastAsia="zh-CN"/>
        </w:rPr>
      </w:r>
      <w:r>
        <w:rPr>
          <w:rFonts w:eastAsia="仿宋_GB2312;仿宋"/>
          <w:color w:val="000000"/>
          <w:sz w:val="28"/>
          <w:szCs w:val="28"/>
          <w:lang w:val="zh-CN" w:eastAsia="zh-CN"/>
        </w:rPr>
        <w:t>㈡</w:t>
      </w:r>
      <w:r>
        <w:rPr>
          <w:rFonts w:eastAsia="仿宋_GB2312;仿宋"/>
          <w:color w:val="000000"/>
          <w:sz w:val="28"/>
          <w:szCs w:val="28"/>
          <w:lang w:val="zh-CN" w:eastAsia="zh-CN"/>
        </w:rPr>
      </w:r>
      <w:r>
        <w:rPr>
          <w:sz w:val="28"/>
          <w:szCs w:val="28"/>
          <w:rFonts w:eastAsia="仿宋_GB2312;仿宋"/>
          <w:color w:val="000000"/>
          <w:lang w:val="zh-CN" w:eastAsia="zh-CN"/>
        </w:rPr>
        <w:fldChar w:fldCharType="end"/>
      </w:r>
      <w:r>
        <w:rPr>
          <w:rFonts w:eastAsia="仿宋_GB2312;仿宋"/>
          <w:color w:val="000000"/>
          <w:sz w:val="28"/>
          <w:szCs w:val="28"/>
        </w:rPr>
        <w:t>管理中心，属于后台部门，对业务中心进行相应职能管理、提供相应职能服务。不接受其他责任中心向其分摊成本，其自身的直接成本向营业网点分摊。包括运营管理部、电子银行部、授信评审部、信贷管理部、合规管理部、风险管理部。</w:t>
      </w:r>
    </w:p>
    <w:p>
      <w:pPr>
        <w:pStyle w:val="Normal"/>
        <w:spacing w:lineRule="auto" w:line="360"/>
        <w:ind w:firstLine="537" w:right="0"/>
        <w:rPr/>
      </w:pPr>
      <w:r>
        <w:fldChar w:fldCharType="begin"/>
      </w:r>
      <w:r>
        <w:rPr>
          <w:sz w:val="28"/>
          <w:szCs w:val="28"/>
          <w:rFonts w:eastAsia="仿宋_GB2312;仿宋"/>
          <w:color w:val="000000"/>
          <w:lang w:val="zh-CN" w:eastAsia="zh-CN"/>
        </w:rPr>
        <w:instrText xml:space="preserve"> = 3 \* GB4 </w:instrText>
      </w:r>
      <w:r>
        <w:rPr>
          <w:rFonts w:eastAsia="仿宋_GB2312;仿宋"/>
          <w:color w:val="000000"/>
          <w:sz w:val="28"/>
          <w:szCs w:val="28"/>
          <w:lang w:val="zh-CN" w:eastAsia="zh-CN"/>
        </w:rPr>
      </w:r>
      <w:r>
        <w:rPr>
          <w:sz w:val="28"/>
          <w:szCs w:val="28"/>
          <w:rFonts w:eastAsia="仿宋_GB2312;仿宋"/>
          <w:color w:val="000000"/>
          <w:lang w:val="zh-CN" w:eastAsia="zh-CN"/>
        </w:rPr>
        <w:fldChar w:fldCharType="separate"/>
      </w:r>
      <w:r>
        <w:rPr>
          <w:rFonts w:eastAsia="仿宋_GB2312;仿宋"/>
          <w:color w:val="000000"/>
          <w:sz w:val="28"/>
          <w:szCs w:val="28"/>
          <w:lang w:val="zh-CN" w:eastAsia="zh-CN"/>
        </w:rPr>
      </w:r>
      <w:r>
        <w:rPr>
          <w:rFonts w:eastAsia="仿宋_GB2312;仿宋"/>
          <w:color w:val="000000"/>
          <w:sz w:val="28"/>
          <w:szCs w:val="28"/>
          <w:lang w:val="zh-CN" w:eastAsia="zh-CN"/>
        </w:rPr>
        <w:t>㈢</w:t>
      </w:r>
      <w:r>
        <w:rPr>
          <w:rFonts w:eastAsia="仿宋_GB2312;仿宋"/>
          <w:color w:val="000000"/>
          <w:sz w:val="28"/>
          <w:szCs w:val="28"/>
          <w:lang w:val="zh-CN" w:eastAsia="zh-CN"/>
        </w:rPr>
      </w:r>
      <w:r>
        <w:rPr>
          <w:sz w:val="28"/>
          <w:szCs w:val="28"/>
          <w:rFonts w:eastAsia="仿宋_GB2312;仿宋"/>
          <w:color w:val="000000"/>
          <w:lang w:val="zh-CN" w:eastAsia="zh-CN"/>
        </w:rPr>
        <w:fldChar w:fldCharType="end"/>
      </w:r>
      <w:r>
        <w:rPr>
          <w:rFonts w:eastAsia="仿宋_GB2312;仿宋"/>
          <w:color w:val="000000"/>
          <w:sz w:val="28"/>
          <w:szCs w:val="28"/>
        </w:rPr>
        <w:t>利润中心，属于前台部门，其拥有的产品明确，自身成本不向其他责任中心分摊，在成本分摊时摊给自身。本行利润中心有支行、营业部、公司部、小微业务部和金融市场部，其中，金融市场部为特殊利润中心，不接受成本中心的分摊，将自身直接成本分摊给所辖资金类产品。各支行（部）将承接总行成本中心的费用与本支行（部）发生的费用，按照一定动因分摊给所辖产品。</w:t>
      </w:r>
    </w:p>
    <w:p>
      <w:pPr>
        <w:pStyle w:val="Normal"/>
        <w:spacing w:lineRule="auto" w:line="360"/>
        <w:ind w:firstLine="539" w:right="0"/>
        <w:rPr/>
      </w:pPr>
      <w:r>
        <w:rPr>
          <w:rFonts w:eastAsia="仿宋_GB2312;仿宋"/>
          <w:b/>
          <w:bCs/>
          <w:color w:val="000000"/>
          <w:sz w:val="28"/>
          <w:szCs w:val="28"/>
        </w:rPr>
        <w:t>第十二条</w:t>
      </w:r>
      <w:r>
        <w:rPr>
          <w:rFonts w:eastAsia="Times New Roman"/>
          <w:b/>
          <w:bCs/>
          <w:color w:val="000000"/>
          <w:sz w:val="28"/>
          <w:szCs w:val="28"/>
        </w:rPr>
        <w:t xml:space="preserve"> </w:t>
      </w:r>
      <w:r>
        <w:rPr>
          <w:rFonts w:eastAsia="Times New Roman"/>
          <w:color w:val="000000"/>
          <w:sz w:val="28"/>
          <w:szCs w:val="28"/>
        </w:rPr>
        <w:t xml:space="preserve"> </w:t>
      </w:r>
      <w:r>
        <w:rPr>
          <w:rFonts w:eastAsia="仿宋_GB2312;仿宋"/>
          <w:color w:val="000000"/>
          <w:sz w:val="28"/>
          <w:szCs w:val="28"/>
        </w:rPr>
        <w:t>成本分摊路径</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本行成本分摊采用平行分摊的原则，各项费用只在本核算层级内部分摊，不在上下级机构间进行跨层级分摊。在同一核算层级中，成本分摊采用分步、顺序分摊的方法。</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责任中心大类是划分成本分摊顺序的依据，最先分摊的是为其他责任中心提供服务最多的责任中心，最后分摊的是为其他责任中心提供服务最少的责任中心，逐项分摊责任中心归集的费用。</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成本只在不同责任中心大类之间进行分摊，同一责任中心大类内部不交叉分摊。最终承担费用的责任中心将归集到的费用直接分摊到产品。</w:t>
      </w:r>
    </w:p>
    <w:p>
      <w:pPr>
        <w:pStyle w:val="Normal"/>
        <w:numPr>
          <w:ilvl w:val="0"/>
          <w:numId w:val="0"/>
        </w:numPr>
        <w:spacing w:lineRule="auto" w:line="360"/>
        <w:ind w:firstLine="539" w:right="0"/>
        <w:outlineLvl w:val="0"/>
        <w:rPr/>
      </w:pPr>
      <w:r>
        <w:rPr>
          <w:rFonts w:eastAsia="仿宋_GB2312;仿宋"/>
          <w:b/>
          <w:bCs/>
          <w:color w:val="000000"/>
          <w:sz w:val="28"/>
          <w:szCs w:val="28"/>
        </w:rPr>
        <w:t>第十三条</w:t>
      </w:r>
      <w:r>
        <w:rPr>
          <w:rFonts w:eastAsia="Times New Roman"/>
          <w:color w:val="000000"/>
          <w:sz w:val="28"/>
          <w:szCs w:val="28"/>
        </w:rPr>
        <w:t xml:space="preserve">  </w:t>
      </w:r>
      <w:r>
        <w:rPr>
          <w:rFonts w:eastAsia="仿宋_GB2312;仿宋"/>
          <w:color w:val="000000"/>
          <w:sz w:val="28"/>
          <w:szCs w:val="28"/>
        </w:rPr>
        <w:t>成本分摊动因</w:t>
      </w:r>
    </w:p>
    <w:p>
      <w:pPr>
        <w:pStyle w:val="Normal"/>
        <w:numPr>
          <w:ilvl w:val="0"/>
          <w:numId w:val="0"/>
        </w:numPr>
        <w:spacing w:lineRule="auto" w:line="360"/>
        <w:ind w:firstLine="560" w:right="0"/>
        <w:outlineLvl w:val="0"/>
        <w:rPr>
          <w:rFonts w:eastAsia="仿宋_GB2312;仿宋"/>
          <w:color w:val="000000"/>
          <w:sz w:val="28"/>
          <w:szCs w:val="28"/>
        </w:rPr>
      </w:pPr>
      <w:r>
        <w:rPr>
          <w:rFonts w:eastAsia="仿宋_GB2312;仿宋"/>
          <w:color w:val="000000"/>
          <w:sz w:val="28"/>
          <w:szCs w:val="28"/>
        </w:rPr>
        <w:t>成本分摊动因，是指根据成本归因将成本分摊到受益对象时参考的具体指标。</w:t>
      </w:r>
    </w:p>
    <w:p>
      <w:pPr>
        <w:pStyle w:val="Normal"/>
        <w:numPr>
          <w:ilvl w:val="0"/>
          <w:numId w:val="0"/>
        </w:numPr>
        <w:spacing w:lineRule="auto" w:line="360"/>
        <w:ind w:firstLine="560" w:right="0"/>
        <w:outlineLvl w:val="0"/>
        <w:rPr/>
      </w:pPr>
      <w:r>
        <w:rPr>
          <w:rFonts w:eastAsia="仿宋_GB2312;仿宋"/>
          <w:color w:val="000000"/>
          <w:sz w:val="28"/>
          <w:szCs w:val="28"/>
        </w:rPr>
        <w:t>成本分摊动因有两类：一类是责任中心成本分摊动因，用于成本在责任中心分摊时参考；另一类是产品成本分摊动因，用于成本由业务中心向产品分摊时参考。</w:t>
      </w:r>
    </w:p>
    <w:p>
      <w:pPr>
        <w:pStyle w:val="Normal"/>
        <w:numPr>
          <w:ilvl w:val="0"/>
          <w:numId w:val="0"/>
        </w:numPr>
        <w:spacing w:lineRule="auto" w:line="360"/>
        <w:ind w:firstLine="537" w:right="0"/>
        <w:outlineLvl w:val="0"/>
        <w:rPr>
          <w:rFonts w:eastAsia="仿宋_GB2312;仿宋"/>
          <w:color w:val="000000"/>
          <w:sz w:val="28"/>
          <w:szCs w:val="28"/>
        </w:rPr>
      </w:pPr>
      <w:r>
        <w:rPr>
          <w:rFonts w:eastAsia="仿宋_GB2312;仿宋"/>
          <w:color w:val="000000"/>
          <w:sz w:val="28"/>
          <w:szCs w:val="28"/>
        </w:rPr>
        <w:t>目前，本行选择的部门维度分摊动因包括网点发卡量、网点存贷款规模占比、网点贷款规模占比（贷款减值损失）、网点总收入占比（管理费）、固定资产占比（保险费）、网点资产规模占比（监管费）、网点人数法等。产品维度的分摊动因包括贷款产品规模法、资金产品规模法、所有产品规模占比、账户数量法、产品系数法等。客户经理和关键客户分摊动因包括将产品粒度细化，明细分摊结果，进行客户经理和关键客户维度结果汇总。</w:t>
      </w:r>
    </w:p>
    <w:p>
      <w:pPr>
        <w:pStyle w:val="Normal"/>
        <w:numPr>
          <w:ilvl w:val="0"/>
          <w:numId w:val="0"/>
        </w:numPr>
        <w:spacing w:lineRule="auto" w:line="360"/>
        <w:ind w:firstLine="560" w:right="0"/>
        <w:outlineLvl w:val="0"/>
        <w:rPr/>
      </w:pPr>
      <w:r>
        <w:rPr>
          <w:rFonts w:eastAsia="仿宋_GB2312;仿宋"/>
          <w:b/>
          <w:bCs/>
          <w:color w:val="000000"/>
          <w:sz w:val="28"/>
          <w:szCs w:val="28"/>
        </w:rPr>
        <w:t>第十四条</w:t>
      </w:r>
      <w:r>
        <w:rPr>
          <w:rFonts w:eastAsia="Times New Roman"/>
          <w:color w:val="000000"/>
          <w:sz w:val="28"/>
          <w:szCs w:val="28"/>
        </w:rPr>
        <w:t xml:space="preserve">  </w:t>
      </w:r>
      <w:r>
        <w:rPr>
          <w:rFonts w:eastAsia="仿宋_GB2312;仿宋"/>
          <w:color w:val="000000"/>
          <w:sz w:val="28"/>
          <w:szCs w:val="28"/>
        </w:rPr>
        <w:t>成本分摊流程</w:t>
      </w:r>
    </w:p>
    <w:p>
      <w:pPr>
        <w:pStyle w:val="ListParagraph"/>
        <w:numPr>
          <w:ilvl w:val="0"/>
          <w:numId w:val="0"/>
        </w:numPr>
        <w:spacing w:lineRule="auto" w:line="360"/>
        <w:ind w:left="0" w:firstLine="560" w:right="0"/>
        <w:outlineLvl w:val="0"/>
        <w:rPr/>
      </w:pPr>
      <w:r>
        <w:rPr>
          <w:rFonts w:eastAsia="仿宋_GB2312;仿宋"/>
          <w:color w:val="000000"/>
          <w:sz w:val="28"/>
          <w:szCs w:val="28"/>
        </w:rPr>
        <w:t>产品成本分摊包括两个步骤：即直接成本归集、间接成本分摊。责任中心成本分摊包括三个步骤，即直接成本归集、归口成本还原、间接成本分摊。</w:t>
      </w:r>
    </w:p>
    <w:p>
      <w:pPr>
        <w:pStyle w:val="ListParagraph"/>
        <w:numPr>
          <w:ilvl w:val="0"/>
          <w:numId w:val="0"/>
        </w:numPr>
        <w:spacing w:lineRule="auto" w:line="360"/>
        <w:ind w:left="0" w:firstLine="560" w:right="0"/>
        <w:outlineLvl w:val="0"/>
        <w:rPr>
          <w:rFonts w:eastAsia="仿宋_GB2312;仿宋"/>
          <w:color w:val="000000"/>
          <w:sz w:val="28"/>
          <w:szCs w:val="28"/>
        </w:rPr>
      </w:pPr>
      <w:r>
        <w:rPr>
          <w:rFonts w:eastAsia="仿宋_GB2312;仿宋"/>
          <w:color w:val="000000"/>
          <w:sz w:val="28"/>
          <w:szCs w:val="28"/>
        </w:rPr>
        <w:t>直接归集到产品的费用作为产品直接成本不再进入责任中心成本分摊过程。不能直接归集到产品的费用作为产品间接成本，按责任中心成本分摊的步骤进行分摊。</w:t>
      </w:r>
    </w:p>
    <w:p>
      <w:pPr>
        <w:pStyle w:val="ListParagraph"/>
        <w:numPr>
          <w:ilvl w:val="0"/>
          <w:numId w:val="0"/>
        </w:numPr>
        <w:spacing w:lineRule="auto" w:line="360"/>
        <w:ind w:left="0" w:firstLine="537" w:right="0"/>
        <w:outlineLvl w:val="0"/>
        <w:rPr>
          <w:rFonts w:eastAsia="仿宋_GB2312;仿宋"/>
          <w:color w:val="000000"/>
          <w:sz w:val="28"/>
          <w:szCs w:val="28"/>
        </w:rPr>
      </w:pPr>
      <w:r>
        <w:rPr>
          <w:rFonts w:eastAsia="仿宋_GB2312;仿宋"/>
          <w:color w:val="000000"/>
          <w:sz w:val="28"/>
          <w:szCs w:val="28"/>
        </w:rPr>
        <w:t>㈠直接成本归集</w:t>
      </w:r>
    </w:p>
    <w:p>
      <w:pPr>
        <w:pStyle w:val="Normal"/>
        <w:numPr>
          <w:ilvl w:val="0"/>
          <w:numId w:val="0"/>
        </w:numPr>
        <w:spacing w:lineRule="auto" w:line="360"/>
        <w:ind w:firstLine="537" w:right="0"/>
        <w:outlineLvl w:val="0"/>
        <w:rPr>
          <w:rFonts w:eastAsia="仿宋_GB2312;仿宋"/>
          <w:color w:val="000000"/>
          <w:sz w:val="28"/>
          <w:szCs w:val="28"/>
        </w:rPr>
      </w:pPr>
      <w:r>
        <w:rPr>
          <w:rFonts w:eastAsia="仿宋_GB2312;仿宋"/>
          <w:color w:val="000000"/>
          <w:sz w:val="28"/>
          <w:szCs w:val="28"/>
        </w:rPr>
        <w:t>直接成本归集，是指通过财务等系统的成本明细核算，将能明确受益对象的成本直接归集到责任中心和产品上的过程。</w:t>
      </w:r>
    </w:p>
    <w:p>
      <w:pPr>
        <w:pStyle w:val="ListParagraph"/>
        <w:numPr>
          <w:ilvl w:val="0"/>
          <w:numId w:val="0"/>
        </w:numPr>
        <w:spacing w:lineRule="auto" w:line="360"/>
        <w:ind w:left="0" w:firstLine="537" w:right="0"/>
        <w:outlineLvl w:val="0"/>
        <w:rPr>
          <w:rFonts w:eastAsia="仿宋_GB2312;仿宋"/>
          <w:color w:val="000000"/>
          <w:sz w:val="28"/>
          <w:szCs w:val="28"/>
        </w:rPr>
      </w:pPr>
      <w:r>
        <w:rPr>
          <w:rFonts w:eastAsia="仿宋_GB2312;仿宋"/>
          <w:color w:val="000000"/>
          <w:sz w:val="28"/>
          <w:szCs w:val="28"/>
        </w:rPr>
        <w:t>㈡归口成本还原</w:t>
      </w:r>
    </w:p>
    <w:p>
      <w:pPr>
        <w:pStyle w:val="Normal"/>
        <w:numPr>
          <w:ilvl w:val="0"/>
          <w:numId w:val="0"/>
        </w:numPr>
        <w:spacing w:lineRule="auto" w:line="360"/>
        <w:ind w:firstLine="537" w:right="0"/>
        <w:outlineLvl w:val="0"/>
        <w:rPr/>
      </w:pPr>
      <w:r>
        <w:rPr>
          <w:rFonts w:eastAsia="仿宋_GB2312;仿宋"/>
          <w:color w:val="000000"/>
          <w:sz w:val="28"/>
          <w:szCs w:val="28"/>
        </w:rPr>
        <w:t>归口成本还原，是指因成本归口管理需要将成本归口核算至某一责任中心，而成本管理责任中心和实际受益责任中心不一致时，按照相应规则将成本从归口核算责任中心还原到实际受益责任中心的过程。行内归口核算的成本，按照“谁受益、谁负担”原则进行还原。</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㈢间接成本分摊</w:t>
      </w:r>
    </w:p>
    <w:p>
      <w:pPr>
        <w:pStyle w:val="Normal"/>
        <w:numPr>
          <w:ilvl w:val="0"/>
          <w:numId w:val="0"/>
        </w:numPr>
        <w:spacing w:lineRule="auto" w:line="360"/>
        <w:ind w:firstLine="560" w:right="0"/>
        <w:outlineLvl w:val="0"/>
        <w:rPr>
          <w:rFonts w:eastAsia="仿宋_GB2312;仿宋"/>
          <w:color w:val="000000"/>
          <w:sz w:val="28"/>
          <w:szCs w:val="28"/>
        </w:rPr>
      </w:pPr>
      <w:r>
        <w:rPr>
          <w:rFonts w:eastAsia="仿宋_GB2312;仿宋"/>
          <w:color w:val="000000"/>
          <w:sz w:val="28"/>
          <w:szCs w:val="28"/>
        </w:rPr>
        <w:t>间接成本分摊，是指在完成直接成本归集、归口成本还原后，将仍无法明确受益对象的成本，按照一定的动因分摊到责任中心和产品上。</w:t>
      </w:r>
    </w:p>
    <w:p>
      <w:pPr>
        <w:pStyle w:val="Normal"/>
        <w:spacing w:lineRule="auto" w:line="360"/>
        <w:rPr>
          <w:rFonts w:eastAsia="仿宋_GB2312;仿宋"/>
          <w:color w:val="000000"/>
          <w:sz w:val="28"/>
          <w:szCs w:val="28"/>
        </w:rPr>
      </w:pPr>
      <w:r>
        <w:rPr>
          <w:rFonts w:eastAsia="仿宋_GB2312;仿宋"/>
          <w:color w:val="000000"/>
          <w:sz w:val="28"/>
          <w:szCs w:val="28"/>
        </w:rPr>
      </w:r>
    </w:p>
    <w:p>
      <w:pPr>
        <w:pStyle w:val="Normal"/>
        <w:spacing w:lineRule="auto" w:line="360"/>
        <w:jc w:val="center"/>
        <w:rPr>
          <w:b/>
          <w:bCs/>
          <w:color w:val="000000"/>
          <w:sz w:val="28"/>
          <w:szCs w:val="28"/>
        </w:rPr>
      </w:pPr>
      <w:r>
        <w:rPr>
          <w:rFonts w:eastAsia="仿宋_GB2312;仿宋"/>
          <w:b/>
          <w:bCs/>
          <w:color w:val="000000"/>
          <w:sz w:val="28"/>
          <w:szCs w:val="28"/>
        </w:rPr>
        <w:t>第三章</w:t>
      </w:r>
      <w:r>
        <w:rPr>
          <w:rFonts w:eastAsia="Times New Roman"/>
          <w:b/>
          <w:bCs/>
          <w:color w:val="000000"/>
          <w:sz w:val="28"/>
          <w:szCs w:val="28"/>
        </w:rPr>
        <w:t xml:space="preserve">  </w:t>
      </w:r>
      <w:r>
        <w:rPr>
          <w:rFonts w:eastAsia="仿宋_GB2312;仿宋"/>
          <w:b/>
          <w:bCs/>
          <w:color w:val="000000"/>
          <w:sz w:val="28"/>
          <w:szCs w:val="28"/>
        </w:rPr>
        <w:t>分摊管理</w:t>
      </w:r>
    </w:p>
    <w:p>
      <w:pPr>
        <w:pStyle w:val="Normal"/>
        <w:numPr>
          <w:ilvl w:val="0"/>
          <w:numId w:val="0"/>
        </w:numPr>
        <w:spacing w:lineRule="auto" w:line="360"/>
        <w:ind w:firstLine="539" w:right="0"/>
        <w:outlineLvl w:val="0"/>
        <w:rPr/>
      </w:pPr>
      <w:r>
        <w:rPr>
          <w:rFonts w:eastAsia="仿宋_GB2312;仿宋"/>
          <w:b/>
          <w:bCs/>
          <w:color w:val="000000"/>
          <w:sz w:val="28"/>
          <w:szCs w:val="28"/>
        </w:rPr>
        <w:t>第十五条</w:t>
      </w:r>
      <w:r>
        <w:rPr>
          <w:rFonts w:eastAsia="Times New Roman"/>
          <w:color w:val="000000"/>
          <w:sz w:val="28"/>
          <w:szCs w:val="28"/>
        </w:rPr>
        <w:t xml:space="preserve">  </w:t>
      </w:r>
      <w:r>
        <w:rPr>
          <w:rFonts w:eastAsia="仿宋_GB2312;仿宋"/>
          <w:color w:val="000000"/>
          <w:sz w:val="28"/>
          <w:szCs w:val="28"/>
        </w:rPr>
        <w:t>分摊规则设定</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管理会计系统内成本分摊规则完成初始设定后，可根据业务和管理需要，进行调整。当出现以下情况且规则无法满足管理需要的，可以对成本分摊规则进行变更：</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㈠机构、部门发生新增、撤销或职能调整，影响原有成本分摊规则的执行；</w:t>
      </w:r>
    </w:p>
    <w:p>
      <w:pPr>
        <w:pStyle w:val="Normal"/>
        <w:spacing w:lineRule="auto" w:line="360"/>
        <w:ind w:firstLine="268" w:left="298" w:right="0"/>
        <w:rPr/>
      </w:pPr>
      <w:r>
        <w:rPr>
          <w:rFonts w:eastAsia="仿宋_GB2312;仿宋"/>
          <w:color w:val="000000"/>
          <w:sz w:val="28"/>
          <w:szCs w:val="28"/>
        </w:rPr>
        <w:t>㈡原有成本分摊规则计算所得分摊结果呈现明显不合理，相关部门共同提出规则变更；</w:t>
      </w:r>
    </w:p>
    <w:p>
      <w:pPr>
        <w:pStyle w:val="Normal"/>
        <w:spacing w:lineRule="auto" w:line="360"/>
        <w:ind w:firstLine="268" w:left="298" w:right="0"/>
        <w:rPr>
          <w:rFonts w:eastAsia="仿宋_GB2312;仿宋"/>
          <w:color w:val="000000"/>
          <w:sz w:val="28"/>
          <w:szCs w:val="28"/>
        </w:rPr>
      </w:pPr>
      <w:r>
        <w:rPr>
          <w:rFonts w:eastAsia="仿宋_GB2312;仿宋"/>
          <w:color w:val="000000"/>
          <w:sz w:val="28"/>
          <w:szCs w:val="28"/>
        </w:rPr>
        <w:t>㈢基础数据获得良好提升，提供更优成本分摊规则供选择。</w:t>
      </w:r>
    </w:p>
    <w:p>
      <w:pPr>
        <w:pStyle w:val="Normal"/>
        <w:numPr>
          <w:ilvl w:val="0"/>
          <w:numId w:val="0"/>
        </w:numPr>
        <w:spacing w:lineRule="auto" w:line="360"/>
        <w:ind w:firstLine="539" w:right="0"/>
        <w:outlineLvl w:val="0"/>
        <w:rPr/>
      </w:pPr>
      <w:r>
        <w:rPr>
          <w:rFonts w:eastAsia="仿宋_GB2312;仿宋"/>
          <w:b/>
          <w:bCs/>
          <w:color w:val="000000"/>
          <w:sz w:val="28"/>
          <w:szCs w:val="28"/>
        </w:rPr>
        <w:t>第十六条</w:t>
      </w:r>
      <w:r>
        <w:rPr>
          <w:rFonts w:eastAsia="Times New Roman"/>
          <w:b/>
          <w:bCs/>
          <w:color w:val="000000"/>
          <w:sz w:val="28"/>
          <w:szCs w:val="28"/>
        </w:rPr>
        <w:t xml:space="preserve">  </w:t>
      </w:r>
      <w:r>
        <w:rPr>
          <w:rFonts w:eastAsia="仿宋_GB2312;仿宋"/>
          <w:color w:val="000000"/>
          <w:sz w:val="28"/>
          <w:szCs w:val="28"/>
        </w:rPr>
        <w:t>分摊规则变更流程</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成本分摊规则的变更遵循以下流程：</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㈠相关部门提出变更申请，阐述变更原因、变更内容；</w:t>
      </w:r>
    </w:p>
    <w:p>
      <w:pPr>
        <w:pStyle w:val="Normal"/>
        <w:spacing w:lineRule="auto" w:line="360"/>
        <w:ind w:firstLine="537" w:right="0"/>
        <w:rPr/>
      </w:pPr>
      <w:r>
        <w:rPr>
          <w:rFonts w:eastAsia="仿宋_GB2312;仿宋"/>
          <w:color w:val="000000"/>
          <w:sz w:val="28"/>
          <w:szCs w:val="28"/>
        </w:rPr>
        <w:t>㈡计划财务部评估规则变更的合理性及可行性，征求信息科技部数据支持情况，信息科技部给予明确回复；</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㈢计划财务部制定拟变更规则具体内容，征求关联部门意见，关联部门给予明确答复；</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㈣计划财务部就规则是否变更提交全面预算管理委员会审定；</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㈤计划财务部完成规则变更维护。</w:t>
      </w:r>
    </w:p>
    <w:p>
      <w:pPr>
        <w:pStyle w:val="Normal"/>
        <w:numPr>
          <w:ilvl w:val="0"/>
          <w:numId w:val="0"/>
        </w:numPr>
        <w:spacing w:lineRule="auto" w:line="360"/>
        <w:ind w:firstLine="539" w:right="0"/>
        <w:outlineLvl w:val="0"/>
        <w:rPr/>
      </w:pPr>
      <w:r>
        <w:rPr>
          <w:rFonts w:eastAsia="仿宋_GB2312;仿宋"/>
          <w:b/>
          <w:bCs/>
          <w:color w:val="000000"/>
          <w:sz w:val="28"/>
          <w:szCs w:val="28"/>
        </w:rPr>
        <w:t>第十七条</w:t>
      </w:r>
      <w:r>
        <w:rPr>
          <w:rFonts w:eastAsia="Times New Roman"/>
          <w:color w:val="000000"/>
          <w:sz w:val="28"/>
          <w:szCs w:val="28"/>
        </w:rPr>
        <w:t xml:space="preserve">  </w:t>
      </w:r>
      <w:r>
        <w:rPr>
          <w:rFonts w:eastAsia="仿宋_GB2312;仿宋"/>
          <w:color w:val="000000"/>
          <w:sz w:val="28"/>
          <w:szCs w:val="28"/>
        </w:rPr>
        <w:t>数据补录</w:t>
      </w:r>
    </w:p>
    <w:p>
      <w:pPr>
        <w:pStyle w:val="Normal"/>
        <w:spacing w:lineRule="auto" w:line="360"/>
        <w:ind w:firstLine="537" w:right="0"/>
        <w:rPr/>
      </w:pPr>
      <w:r>
        <w:rPr>
          <w:rFonts w:eastAsia="仿宋_GB2312;仿宋"/>
          <w:color w:val="000000"/>
          <w:sz w:val="28"/>
          <w:szCs w:val="28"/>
        </w:rPr>
        <w:t>成本分摊所需要的动因数据来源自两部分：一部分来自于现有系统内，由数据库统一供数；另一部分来自于系统外手工统计。总行相关业务部门负责定期向计划财务部提供本部门成本分摊基础参数。</w:t>
      </w:r>
    </w:p>
    <w:p>
      <w:pPr>
        <w:pStyle w:val="Normal"/>
        <w:spacing w:lineRule="auto" w:line="360"/>
        <w:ind w:firstLine="539" w:right="0"/>
        <w:rPr/>
      </w:pPr>
      <w:r>
        <w:rPr>
          <w:rFonts w:eastAsia="仿宋_GB2312;仿宋"/>
          <w:b/>
          <w:bCs/>
          <w:color w:val="000000"/>
          <w:sz w:val="28"/>
          <w:szCs w:val="28"/>
        </w:rPr>
        <w:t>第十八条</w:t>
      </w:r>
      <w:r>
        <w:rPr>
          <w:rFonts w:eastAsia="Times New Roman"/>
          <w:color w:val="000000"/>
          <w:sz w:val="28"/>
          <w:szCs w:val="28"/>
        </w:rPr>
        <w:t xml:space="preserve">  </w:t>
      </w:r>
      <w:r>
        <w:rPr>
          <w:rFonts w:eastAsia="仿宋_GB2312;仿宋"/>
          <w:color w:val="000000"/>
          <w:sz w:val="28"/>
          <w:szCs w:val="28"/>
        </w:rPr>
        <w:t>分摊计算流程</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成本分摊计算每月定期执行，须遵循以下流程：</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㈠数据库按照规定向管理会计系统提供成本分摊所需的系统内基础数据；</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㈡总行相关业务部门向计划财务部提供成本分摊所需的系统外基础数据；</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㈢计划财务部检查成本分摊计算所需数据准备情况，准备就绪后进行成本分摊计算操作；</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㈣成本分摊计算完成后，由管理会计系统统一出具相应分析报表。</w:t>
      </w:r>
    </w:p>
    <w:p>
      <w:pPr>
        <w:pStyle w:val="Normal"/>
        <w:spacing w:lineRule="auto" w:line="360"/>
        <w:ind w:firstLine="3099" w:right="0"/>
        <w:rPr>
          <w:rFonts w:eastAsia="仿宋_GB2312;仿宋"/>
          <w:b/>
          <w:bCs/>
          <w:color w:val="000000"/>
          <w:sz w:val="28"/>
          <w:szCs w:val="28"/>
        </w:rPr>
      </w:pPr>
      <w:r>
        <w:rPr>
          <w:rFonts w:eastAsia="仿宋_GB2312;仿宋"/>
          <w:b/>
          <w:bCs/>
          <w:color w:val="000000"/>
          <w:sz w:val="28"/>
          <w:szCs w:val="28"/>
        </w:rPr>
      </w:r>
    </w:p>
    <w:p>
      <w:pPr>
        <w:pStyle w:val="Normal"/>
        <w:spacing w:lineRule="auto" w:line="360"/>
        <w:jc w:val="center"/>
        <w:rPr>
          <w:b/>
          <w:bCs/>
          <w:color w:val="000000"/>
          <w:sz w:val="28"/>
          <w:szCs w:val="28"/>
        </w:rPr>
      </w:pPr>
      <w:r>
        <w:rPr>
          <w:rFonts w:eastAsia="仿宋_GB2312;仿宋"/>
          <w:b/>
          <w:bCs/>
          <w:color w:val="000000"/>
          <w:sz w:val="28"/>
          <w:szCs w:val="28"/>
        </w:rPr>
        <w:t>第四章</w:t>
      </w:r>
      <w:r>
        <w:rPr>
          <w:rFonts w:eastAsia="Times New Roman"/>
          <w:b/>
          <w:bCs/>
          <w:color w:val="000000"/>
          <w:sz w:val="28"/>
          <w:szCs w:val="28"/>
        </w:rPr>
        <w:t xml:space="preserve">  </w:t>
      </w:r>
      <w:r>
        <w:rPr>
          <w:rFonts w:eastAsia="仿宋_GB2312;仿宋"/>
          <w:b/>
          <w:bCs/>
          <w:color w:val="000000"/>
          <w:sz w:val="28"/>
          <w:szCs w:val="28"/>
        </w:rPr>
        <w:t>附</w:t>
      </w:r>
      <w:r>
        <w:rPr>
          <w:rFonts w:eastAsia="Times New Roman"/>
          <w:b/>
          <w:bCs/>
          <w:color w:val="000000"/>
          <w:sz w:val="28"/>
          <w:szCs w:val="28"/>
        </w:rPr>
        <w:t xml:space="preserve">  </w:t>
      </w:r>
      <w:r>
        <w:rPr>
          <w:rFonts w:eastAsia="仿宋_GB2312;仿宋"/>
          <w:b/>
          <w:bCs/>
          <w:color w:val="000000"/>
          <w:sz w:val="28"/>
          <w:szCs w:val="28"/>
        </w:rPr>
        <w:t>则</w:t>
      </w:r>
    </w:p>
    <w:p>
      <w:pPr>
        <w:pStyle w:val="Normal"/>
        <w:numPr>
          <w:ilvl w:val="0"/>
          <w:numId w:val="0"/>
        </w:numPr>
        <w:spacing w:lineRule="auto" w:line="360"/>
        <w:ind w:firstLine="539" w:right="0"/>
        <w:outlineLvl w:val="0"/>
        <w:rPr/>
      </w:pPr>
      <w:r>
        <w:rPr>
          <w:rFonts w:eastAsia="仿宋_GB2312;仿宋"/>
          <w:b/>
          <w:bCs/>
          <w:color w:val="000000"/>
          <w:sz w:val="28"/>
          <w:szCs w:val="28"/>
        </w:rPr>
        <w:t>第十九条</w:t>
      </w:r>
      <w:r>
        <w:rPr>
          <w:rFonts w:eastAsia="Times New Roman"/>
          <w:color w:val="000000"/>
          <w:sz w:val="28"/>
          <w:szCs w:val="28"/>
        </w:rPr>
        <w:t xml:space="preserve">  </w:t>
      </w:r>
      <w:r>
        <w:rPr>
          <w:rFonts w:eastAsia="仿宋_GB2312;仿宋"/>
          <w:color w:val="000000"/>
          <w:sz w:val="28"/>
          <w:szCs w:val="28"/>
        </w:rPr>
        <w:t>信息保密</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成本分摊的相关规则以及系统内业务数据和生成的各类报表属于本行的保密数据，各层级应严格保密，未经总行批准，不得对外提供或披露。</w:t>
      </w:r>
    </w:p>
    <w:p>
      <w:pPr>
        <w:pStyle w:val="Normal"/>
        <w:autoSpaceDE w:val="false"/>
        <w:spacing w:lineRule="auto" w:line="360"/>
        <w:ind w:firstLine="539" w:right="0"/>
        <w:rPr/>
      </w:pPr>
      <w:r>
        <w:rPr>
          <w:rFonts w:eastAsia="仿宋_GB2312;仿宋"/>
          <w:b/>
          <w:bCs/>
          <w:color w:val="000000"/>
          <w:sz w:val="28"/>
          <w:szCs w:val="28"/>
        </w:rPr>
        <w:t>第二十条</w:t>
      </w:r>
      <w:r>
        <w:rPr>
          <w:rFonts w:eastAsia="Times New Roman"/>
          <w:b/>
          <w:bCs/>
          <w:color w:val="000000"/>
          <w:sz w:val="28"/>
          <w:szCs w:val="28"/>
        </w:rPr>
        <w:t xml:space="preserve"> </w:t>
      </w:r>
      <w:r>
        <w:rPr>
          <w:rFonts w:eastAsia="仿宋_GB2312;仿宋"/>
          <w:color w:val="000000"/>
          <w:sz w:val="28"/>
          <w:szCs w:val="28"/>
        </w:rPr>
        <w:t>本办法由</w:t>
      </w:r>
      <w:r>
        <w:rPr>
          <w:rFonts w:eastAsia="仿宋_GB2312;仿宋"/>
          <w:color w:val="000000"/>
          <w:sz w:val="28"/>
          <w:szCs w:val="28"/>
        </w:rPr>
        <w:t>本行</w:t>
      </w:r>
      <w:r>
        <w:rPr>
          <w:rFonts w:eastAsia="仿宋_GB2312;仿宋"/>
          <w:color w:val="000000"/>
          <w:sz w:val="28"/>
          <w:szCs w:val="28"/>
        </w:rPr>
        <w:t>计划财务部负责解释和修订。</w:t>
      </w:r>
    </w:p>
    <w:p>
      <w:pPr>
        <w:pStyle w:val="Normal"/>
        <w:spacing w:lineRule="auto" w:line="360"/>
        <w:ind w:firstLine="528" w:right="0"/>
        <w:rPr>
          <w:rFonts w:eastAsia="仿宋_GB2312;仿宋"/>
          <w:color w:val="000000"/>
          <w:sz w:val="28"/>
          <w:szCs w:val="28"/>
        </w:rPr>
      </w:pPr>
      <w:r>
        <w:rPr>
          <w:rFonts w:eastAsia="仿宋_GB2312;仿宋"/>
          <w:b/>
          <w:bCs/>
          <w:color w:val="000000"/>
          <w:sz w:val="28"/>
          <w:szCs w:val="28"/>
        </w:rPr>
        <w:t>第二十一条</w:t>
      </w:r>
      <w:r>
        <w:rPr>
          <w:rFonts w:eastAsia="Times New Roman"/>
          <w:color w:val="000000"/>
          <w:sz w:val="28"/>
          <w:szCs w:val="28"/>
        </w:rPr>
        <w:t xml:space="preserve"> </w:t>
      </w:r>
      <w:r>
        <w:rPr>
          <w:rFonts w:eastAsia="仿宋_GB2312;仿宋"/>
          <w:color w:val="000000"/>
          <w:sz w:val="28"/>
          <w:szCs w:val="28"/>
        </w:rPr>
        <w:t>本办法</w:t>
      </w:r>
      <w:r>
        <w:rPr>
          <w:rFonts w:eastAsia="仿宋_GB2312;仿宋"/>
          <w:sz w:val="28"/>
          <w:szCs w:val="28"/>
        </w:rPr>
        <w:t>自发文之日起施行</w:t>
      </w:r>
      <w:r>
        <w:rPr>
          <w:rFonts w:eastAsia="仿宋_GB2312;仿宋"/>
          <w:color w:val="000000"/>
          <w:sz w:val="28"/>
          <w:szCs w:val="28"/>
        </w:rPr>
        <w:t>。</w:t>
      </w:r>
      <w:bookmarkStart w:id="2" w:name="_GoBack"/>
      <w:bookmarkEnd w:id="2"/>
    </w:p>
    <w:p>
      <w:pPr>
        <w:pStyle w:val="Normal"/>
        <w:spacing w:lineRule="auto" w:line="360"/>
        <w:ind w:firstLine="5768" w:right="0"/>
        <w:rPr>
          <w:rFonts w:eastAsia="仿宋_GB2312;仿宋"/>
          <w:color w:val="000000"/>
          <w:sz w:val="28"/>
          <w:szCs w:val="28"/>
        </w:rPr>
      </w:pPr>
      <w:r>
        <w:rPr>
          <w:rFonts w:eastAsia="仿宋_GB2312;仿宋"/>
          <w:color w:val="000000"/>
          <w:sz w:val="28"/>
          <w:szCs w:val="28"/>
        </w:rPr>
      </w:r>
      <w:bookmarkStart w:id="3" w:name="zhengwen"/>
      <w:bookmarkStart w:id="4" w:name="zhengwen"/>
      <w:bookmarkEnd w:id="4"/>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taiwaneseCountingThousand"/>
      <w:suff w:val="space"/>
      <w:lvlText w:val="第%1条"/>
      <w:lvlJc w:val="left"/>
      <w:pPr>
        <w:tabs>
          <w:tab w:val="num" w:pos="0"/>
        </w:tabs>
        <w:ind w:left="0" w:hanging="0"/>
      </w:pPr>
    </w:lvl>
  </w:abstractNum>
  <w:abstractNum w:abstractNumId="3">
    <w:lvl w:ilvl="0">
      <w:start w:val="9"/>
      <w:numFmt w:val="taiwaneseCountingThousand"/>
      <w:suff w:val="space"/>
      <w:lvlText w:val="第%1条"/>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PageNumber">
    <w:name w:val="Page Number"/>
    <w:basedOn w:val="Style13"/>
    <w:rPr/>
  </w:style>
  <w:style w:type="character" w:styleId="Style14">
    <w:name w:val="批注引用"/>
    <w:qFormat/>
    <w:rPr>
      <w:sz w:val="21"/>
      <w:szCs w:val="21"/>
    </w:rPr>
  </w:style>
  <w:style w:type="character" w:styleId="Char">
    <w:name w:val="批注文字 Char"/>
    <w:qFormat/>
    <w:rPr>
      <w:kern w:val="2"/>
      <w:sz w:val="21"/>
      <w:szCs w:val="21"/>
    </w:rPr>
  </w:style>
  <w:style w:type="character" w:styleId="Char1">
    <w:name w:val="批注主题 Char"/>
    <w:qFormat/>
    <w:rPr>
      <w:b/>
      <w:bCs/>
      <w:kern w:val="2"/>
      <w:sz w:val="21"/>
      <w:szCs w:val="24"/>
    </w:rPr>
  </w:style>
  <w:style w:type="character" w:styleId="2Char">
    <w:name w:val="标题 2 Char"/>
    <w:qFormat/>
    <w:rPr>
      <w:rFonts w:ascii="Calibri Light" w:hAnsi="Calibri Light"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文档结构图"/>
    <w:basedOn w:val="Normal"/>
    <w:qFormat/>
    <w:pPr>
      <w:shd w:fill="000080" w:val="clear"/>
    </w:pPr>
    <w:rPr/>
  </w:style>
  <w:style w:type="paragraph" w:styleId="Style17">
    <w:name w:val="批注文字"/>
    <w:basedOn w:val="Normal"/>
    <w:qFormat/>
    <w:pPr>
      <w:jc w:val="left"/>
    </w:pPr>
    <w:rPr>
      <w:szCs w:val="21"/>
    </w:rPr>
  </w:style>
  <w:style w:type="paragraph" w:styleId="Style18">
    <w:name w:val="批注主题"/>
    <w:basedOn w:val="Style17"/>
    <w:next w:val="Style17"/>
    <w:qFormat/>
    <w:pPr/>
    <w:rPr>
      <w:b/>
      <w:bCs/>
      <w:szCs w:val="24"/>
    </w:rPr>
  </w:style>
  <w:style w:type="paragraph" w:styleId="ListParagraph">
    <w:name w:val="List Paragraph"/>
    <w:basedOn w:val="Normal"/>
    <w:qFormat/>
    <w:pPr>
      <w:ind w:firstLine="420" w:left="0" w:right="0"/>
    </w:pPr>
    <w:rPr>
      <w:szCs w:val="21"/>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Char1CharCharCharCharCharCharCharCharCharCharCharCharCharCharCharCharCharCharCharCharChar">
    <w:name w:val="Char1 Char Char Char Char Char Char Char Char Char Char Char Char Char Char Char Char Char Char Char Char Char"/>
    <w:basedOn w:val="Normal"/>
    <w:qFormat/>
    <w:pPr>
      <w:tabs>
        <w:tab w:val="clear" w:pos="420"/>
        <w:tab w:val="left" w:pos="360" w:leader="none"/>
      </w:tabs>
      <w:ind w:hanging="360" w:left="360" w:right="0"/>
    </w:pPr>
    <w:rPr>
      <w:sz w:val="24"/>
    </w:rPr>
  </w:style>
  <w:style w:type="paragraph" w:styleId="ParaCharCharCharChar">
    <w:name w:val="默认段落字体 Para Char Char Char Char"/>
    <w:basedOn w:val="Normal"/>
    <w:qFormat/>
    <w:pPr/>
    <w:rPr/>
  </w:style>
  <w:style w:type="paragraph" w:styleId="Style20">
    <w:name w:val="修订"/>
    <w:qFormat/>
    <w:pPr>
      <w:widowControl/>
      <w:bidi w:val="0"/>
    </w:pPr>
    <w:rPr>
      <w:rFonts w:ascii="Times New Roman" w:hAnsi="Times New Roman" w:eastAsia="宋体;SimSun" w:cs="Times New Roman"/>
      <w:color w:val="auto"/>
      <w:kern w:val="2"/>
      <w:sz w:val="21"/>
      <w:szCs w:val="24"/>
      <w:lang w:val="en-US" w:eastAsia="zh-CN" w:bidi="ar-SA"/>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2014-09-10T11:08:00Z</dcterms:created>
  <dc:creator/>
  <dc:description/>
  <cp:keywords/>
  <dc:language>zh-CN</dc:language>
  <cp:lastModifiedBy/>
  <cp:lastPrinted>2014-09-10T11:07:00Z</cp:lastPrinted>
  <dcterms:modified xsi:type="dcterms:W3CDTF">2020-01-08T19:54:00Z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