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仿宋_GB2312;仿宋"/>
          <w:sz w:val="28"/>
          <w:szCs w:val="28"/>
        </w:rPr>
      </w:pPr>
      <w:r>
        <w:rPr>
          <w:rFonts w:eastAsia="仿宋_GB2312;仿宋"/>
          <w:sz w:val="28"/>
          <w:szCs w:val="28"/>
        </w:rPr>
      </w:r>
      <w:bookmarkStart w:id="0" w:name="page2"/>
      <w:bookmarkStart w:id="1" w:name="page2"/>
      <w:bookmarkEnd w:id="1"/>
    </w:p>
    <w:p>
      <w:pPr>
        <w:pStyle w:val="Style19"/>
        <w:ind w:hanging="0" w:right="0"/>
        <w:rPr>
          <w:rFonts w:ascii="Times New Roman" w:hAnsi="Times New Roman" w:cs="Times New Roman"/>
        </w:rPr>
      </w:pPr>
      <w:r>
        <w:rPr>
          <w:rFonts w:ascii="Times New Roman" w:hAnsi="Times New Roman" w:cs="Times New Roman"/>
        </w:rPr>
        <w:t>突发流动性风险事件应急预案</w:t>
      </w:r>
    </w:p>
    <w:p>
      <w:pPr>
        <w:pStyle w:val="Normal"/>
        <w:spacing w:lineRule="auto" w:line="360"/>
        <w:rPr>
          <w:rFonts w:ascii="Times New Roman" w:hAnsi="Times New Roman" w:eastAsia="仿宋_GB2312;仿宋" w:cs="Times New Roman"/>
          <w:sz w:val="28"/>
          <w:szCs w:val="28"/>
        </w:rPr>
      </w:pPr>
      <w:r>
        <w:rPr>
          <w:rFonts w:eastAsia="仿宋_GB2312;仿宋" w:cs="Times New Roman"/>
          <w:sz w:val="28"/>
          <w:szCs w:val="28"/>
        </w:rPr>
      </w:r>
    </w:p>
    <w:p>
      <w:pPr>
        <w:pStyle w:val="Normal"/>
        <w:spacing w:lineRule="auto" w:line="360"/>
        <w:jc w:val="center"/>
        <w:rPr>
          <w:rFonts w:eastAsia="仿宋_GB2312;仿宋"/>
          <w:b/>
          <w:sz w:val="28"/>
          <w:szCs w:val="28"/>
        </w:rPr>
      </w:pPr>
      <w:r>
        <w:rPr>
          <w:rFonts w:eastAsia="仿宋_GB2312;仿宋"/>
          <w:b/>
          <w:sz w:val="28"/>
          <w:szCs w:val="28"/>
        </w:rPr>
        <w:t>第一章</w:t>
      </w:r>
      <w:r>
        <w:rPr>
          <w:rFonts w:eastAsia="Times New Roman"/>
          <w:b/>
          <w:sz w:val="28"/>
          <w:szCs w:val="28"/>
        </w:rPr>
        <w:t xml:space="preserve">  </w:t>
      </w:r>
      <w:r>
        <w:rPr>
          <w:rFonts w:eastAsia="仿宋_GB2312;仿宋"/>
          <w:b/>
          <w:sz w:val="28"/>
          <w:szCs w:val="28"/>
        </w:rPr>
        <w:t>总</w:t>
      </w:r>
      <w:r>
        <w:rPr>
          <w:rFonts w:eastAsia="Times New Roman"/>
          <w:b/>
          <w:sz w:val="28"/>
          <w:szCs w:val="28"/>
        </w:rPr>
        <w:t xml:space="preserve">  </w:t>
      </w:r>
      <w:r>
        <w:rPr>
          <w:rFonts w:eastAsia="仿宋_GB2312;仿宋"/>
          <w:b/>
          <w:sz w:val="28"/>
          <w:szCs w:val="28"/>
        </w:rPr>
        <w:t>则</w:t>
      </w:r>
    </w:p>
    <w:p>
      <w:pPr>
        <w:pStyle w:val="Normal"/>
        <w:spacing w:lineRule="auto" w:line="360"/>
        <w:ind w:firstLine="560" w:right="0"/>
        <w:jc w:val="both"/>
        <w:rPr/>
      </w:pPr>
      <w:r>
        <w:rPr>
          <w:rFonts w:eastAsia="仿宋_GB2312;仿宋"/>
          <w:sz w:val="28"/>
          <w:szCs w:val="28"/>
        </w:rPr>
        <w:t>第一条</w:t>
      </w:r>
      <w:r>
        <w:rPr>
          <w:rFonts w:eastAsia="仿宋_GB2312;仿宋"/>
          <w:sz w:val="28"/>
          <w:szCs w:val="28"/>
        </w:rPr>
        <w:tab/>
        <w:t xml:space="preserve"> </w:t>
      </w:r>
      <w:r>
        <w:rPr>
          <w:rFonts w:eastAsia="仿宋_GB2312;仿宋"/>
          <w:sz w:val="28"/>
          <w:szCs w:val="28"/>
        </w:rPr>
        <w:t>为预防和最大程度地减少本行因流动性原因产生的支付风险而引发的突发流动性风险事件，保护本行股东和广大存款人的合法权益，确保本行各项业务的稳健运行，根据银监会《银行业突发事件应急预案》、《商业银行流动性风险管理办法（试行）》和有关法律、法规，特制定本应急预案。</w:t>
      </w:r>
    </w:p>
    <w:p>
      <w:pPr>
        <w:pStyle w:val="Normal"/>
        <w:spacing w:lineRule="auto" w:line="360"/>
        <w:ind w:firstLine="560" w:right="0"/>
        <w:jc w:val="both"/>
        <w:rPr/>
      </w:pPr>
      <w:r>
        <w:rPr>
          <w:rFonts w:eastAsia="仿宋_GB2312;仿宋"/>
          <w:sz w:val="28"/>
          <w:szCs w:val="28"/>
        </w:rPr>
        <w:t>第二条</w:t>
      </w:r>
      <w:r>
        <w:rPr>
          <w:rFonts w:eastAsia="仿宋_GB2312;仿宋"/>
          <w:sz w:val="28"/>
          <w:szCs w:val="28"/>
        </w:rPr>
        <w:tab/>
        <w:t xml:space="preserve"> </w:t>
      </w:r>
      <w:r>
        <w:rPr>
          <w:rFonts w:eastAsia="仿宋_GB2312;仿宋"/>
          <w:sz w:val="28"/>
          <w:szCs w:val="28"/>
        </w:rPr>
        <w:t>本预案所指的流动性风险，是指本行无法以合理成本及时获得充足资金，用于偿付到期债务、履行其他支付义务和满足正常业务开展的其他资金需求的风险。当流动性不足时，将会导致无法以合理的成本满足对外支付和业务发展的流动性需求，一旦处置不当，将会发生存款挤提、头寸不足和流动性缺口扩大等危机和风险。</w:t>
      </w:r>
    </w:p>
    <w:p>
      <w:pPr>
        <w:pStyle w:val="Normal"/>
        <w:spacing w:lineRule="auto" w:line="360"/>
        <w:ind w:firstLine="560" w:right="0"/>
        <w:jc w:val="both"/>
        <w:rPr>
          <w:rFonts w:eastAsia="仿宋_GB2312;仿宋"/>
          <w:sz w:val="28"/>
          <w:szCs w:val="28"/>
        </w:rPr>
      </w:pPr>
      <w:r>
        <w:rPr>
          <w:rFonts w:eastAsia="仿宋_GB2312;仿宋"/>
          <w:sz w:val="28"/>
          <w:szCs w:val="28"/>
        </w:rPr>
        <w:t>流动性风险事件，主要是指由于以下原因引发本行无法满足支付需求而出现的流动性风险。具体包括：</w:t>
      </w:r>
    </w:p>
    <w:p>
      <w:pPr>
        <w:pStyle w:val="Normal"/>
        <w:spacing w:lineRule="auto" w:line="360"/>
        <w:ind w:firstLine="560" w:right="0"/>
        <w:jc w:val="both"/>
        <w:rPr>
          <w:rFonts w:eastAsia="仿宋_GB2312;仿宋"/>
          <w:sz w:val="28"/>
          <w:szCs w:val="28"/>
        </w:rPr>
      </w:pPr>
      <w:r>
        <w:rPr>
          <w:rFonts w:eastAsia="仿宋_GB2312;仿宋"/>
          <w:sz w:val="28"/>
          <w:szCs w:val="28"/>
        </w:rPr>
        <w:t>（一）贷款过快增长，超过正常幅度；</w:t>
      </w:r>
    </w:p>
    <w:p>
      <w:pPr>
        <w:pStyle w:val="Normal"/>
        <w:spacing w:lineRule="auto" w:line="360"/>
        <w:ind w:firstLine="560" w:right="0"/>
        <w:jc w:val="both"/>
        <w:rPr>
          <w:rFonts w:eastAsia="仿宋_GB2312;仿宋"/>
          <w:sz w:val="28"/>
          <w:szCs w:val="28"/>
        </w:rPr>
      </w:pPr>
      <w:r>
        <w:rPr>
          <w:rFonts w:eastAsia="仿宋_GB2312;仿宋"/>
          <w:sz w:val="28"/>
          <w:szCs w:val="28"/>
        </w:rPr>
        <w:t>（二）存款出现大幅下跌，出现异常大额支付；</w:t>
      </w:r>
    </w:p>
    <w:p>
      <w:pPr>
        <w:pStyle w:val="Normal"/>
        <w:spacing w:lineRule="auto" w:line="360"/>
        <w:ind w:firstLine="560" w:right="0"/>
        <w:jc w:val="both"/>
        <w:rPr>
          <w:rFonts w:eastAsia="仿宋_GB2312;仿宋"/>
          <w:sz w:val="28"/>
          <w:szCs w:val="28"/>
        </w:rPr>
      </w:pPr>
      <w:r>
        <w:rPr>
          <w:rFonts w:eastAsia="仿宋_GB2312;仿宋"/>
          <w:sz w:val="28"/>
          <w:szCs w:val="28"/>
        </w:rPr>
        <w:t>（三）从紧货币政策影响带来的流动性紧缩风险；</w:t>
      </w:r>
    </w:p>
    <w:p>
      <w:pPr>
        <w:pStyle w:val="Normal"/>
        <w:spacing w:lineRule="auto" w:line="360"/>
        <w:ind w:firstLine="560" w:right="0"/>
        <w:jc w:val="both"/>
        <w:rPr>
          <w:rFonts w:eastAsia="仿宋_GB2312;仿宋"/>
          <w:sz w:val="28"/>
          <w:szCs w:val="28"/>
        </w:rPr>
      </w:pPr>
      <w:r>
        <w:rPr>
          <w:rFonts w:eastAsia="仿宋_GB2312;仿宋"/>
          <w:sz w:val="28"/>
          <w:szCs w:val="28"/>
        </w:rPr>
        <w:t>（四）资产负债期限匹配不当；</w:t>
      </w:r>
    </w:p>
    <w:p>
      <w:pPr>
        <w:pStyle w:val="Normal"/>
        <w:spacing w:lineRule="auto" w:line="360"/>
        <w:ind w:firstLine="560" w:right="0"/>
        <w:jc w:val="both"/>
        <w:rPr>
          <w:rFonts w:eastAsia="仿宋_GB2312;仿宋"/>
          <w:sz w:val="28"/>
          <w:szCs w:val="28"/>
        </w:rPr>
      </w:pPr>
      <w:r>
        <w:rPr>
          <w:rFonts w:eastAsia="仿宋_GB2312;仿宋"/>
          <w:sz w:val="28"/>
          <w:szCs w:val="28"/>
        </w:rPr>
        <w:t>（五）可能导致流动性风险的其他原因。</w:t>
      </w:r>
    </w:p>
    <w:p>
      <w:pPr>
        <w:pStyle w:val="Normal"/>
        <w:spacing w:lineRule="auto" w:line="360"/>
        <w:jc w:val="both"/>
        <w:rPr>
          <w:rFonts w:eastAsia="仿宋_GB2312;仿宋"/>
          <w:sz w:val="28"/>
          <w:szCs w:val="28"/>
        </w:rPr>
      </w:pPr>
      <w:r>
        <w:rPr>
          <w:rFonts w:eastAsia="仿宋_GB2312;仿宋"/>
          <w:sz w:val="28"/>
          <w:szCs w:val="28"/>
        </w:rPr>
      </w:r>
    </w:p>
    <w:p>
      <w:pPr>
        <w:pStyle w:val="Normal"/>
        <w:spacing w:lineRule="auto" w:line="360"/>
        <w:jc w:val="center"/>
        <w:rPr>
          <w:b/>
          <w:sz w:val="28"/>
          <w:szCs w:val="28"/>
        </w:rPr>
      </w:pPr>
      <w:bookmarkStart w:id="2" w:name="page3"/>
      <w:bookmarkEnd w:id="2"/>
      <w:r>
        <w:rPr>
          <w:rFonts w:eastAsia="仿宋_GB2312;仿宋"/>
          <w:b/>
          <w:sz w:val="28"/>
          <w:szCs w:val="28"/>
        </w:rPr>
        <w:t>第二章</w:t>
      </w:r>
      <w:r>
        <w:rPr>
          <w:rFonts w:eastAsia="Times New Roman"/>
          <w:b/>
          <w:sz w:val="28"/>
          <w:szCs w:val="28"/>
        </w:rPr>
        <w:t xml:space="preserve">  </w:t>
      </w:r>
      <w:r>
        <w:rPr>
          <w:rFonts w:eastAsia="仿宋_GB2312;仿宋"/>
          <w:b/>
          <w:sz w:val="28"/>
          <w:szCs w:val="28"/>
        </w:rPr>
        <w:t>组织管理体系</w:t>
      </w:r>
    </w:p>
    <w:p>
      <w:pPr>
        <w:pStyle w:val="Normal"/>
        <w:spacing w:lineRule="auto" w:line="360"/>
        <w:ind w:firstLine="560" w:right="0"/>
        <w:jc w:val="both"/>
        <w:rPr/>
      </w:pPr>
      <w:r>
        <w:rPr>
          <w:rFonts w:eastAsia="仿宋_GB2312;仿宋"/>
          <w:sz w:val="28"/>
          <w:szCs w:val="28"/>
        </w:rPr>
        <w:t>第三条</w:t>
      </w:r>
      <w:r>
        <w:rPr>
          <w:rFonts w:eastAsia="仿宋_GB2312;仿宋"/>
          <w:sz w:val="28"/>
          <w:szCs w:val="28"/>
        </w:rPr>
        <w:tab/>
        <w:t xml:space="preserve"> </w:t>
      </w:r>
      <w:r>
        <w:rPr>
          <w:rFonts w:eastAsia="仿宋_GB2312;仿宋"/>
          <w:sz w:val="28"/>
          <w:szCs w:val="28"/>
        </w:rPr>
        <w:t>本行成立突发流动性风险事件应急预案处置领导小组（以下简称“应急预案处置领导小组”）。由董事长任组长，行长任副组长</w:t>
      </w:r>
      <w:r>
        <w:rPr>
          <w:rFonts w:eastAsia="仿宋_GB2312;仿宋"/>
          <w:sz w:val="28"/>
          <w:szCs w:val="28"/>
        </w:rPr>
        <w:t>,</w:t>
      </w:r>
      <w:r>
        <w:rPr>
          <w:rFonts w:eastAsia="仿宋_GB2312;仿宋"/>
          <w:sz w:val="28"/>
          <w:szCs w:val="28"/>
        </w:rPr>
        <w:t>成员由总行副行长及各部门负责人组成。</w:t>
      </w:r>
    </w:p>
    <w:p>
      <w:pPr>
        <w:pStyle w:val="Normal"/>
        <w:spacing w:lineRule="auto" w:line="360"/>
        <w:ind w:firstLine="560" w:right="0"/>
        <w:jc w:val="both"/>
        <w:rPr/>
      </w:pPr>
      <w:r>
        <w:rPr>
          <w:rFonts w:eastAsia="仿宋_GB2312;仿宋"/>
          <w:sz w:val="28"/>
          <w:szCs w:val="28"/>
        </w:rPr>
        <w:t>第四条</w:t>
      </w:r>
      <w:r>
        <w:rPr>
          <w:rFonts w:eastAsia="仿宋_GB2312;仿宋"/>
          <w:sz w:val="28"/>
          <w:szCs w:val="28"/>
        </w:rPr>
        <w:tab/>
        <w:t xml:space="preserve"> </w:t>
      </w:r>
      <w:r>
        <w:rPr>
          <w:rFonts w:eastAsia="仿宋_GB2312;仿宋"/>
          <w:sz w:val="28"/>
          <w:szCs w:val="28"/>
        </w:rPr>
        <w:t>应急预案处置领导小组下设办公室，作为日常办事机构，办公室设在计划财务部，负责全行突发流动性风险事件的组织、协调和处置工作。其主要职责为：制订本行突发流动性风险事件应急预案；遇突发流动性风险事件发生时，启动应急预案，及时处置和化解突发流动性风险，确保突发事件期间和风险处置后业务经营的正常运行。同时，负责及时向银监部门、人民银行、省联社和地方政府等上级部门报告。</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b/>
          <w:sz w:val="28"/>
          <w:szCs w:val="28"/>
        </w:rPr>
      </w:pPr>
      <w:r>
        <w:rPr>
          <w:rFonts w:eastAsia="仿宋_GB2312;仿宋"/>
          <w:b/>
          <w:sz w:val="28"/>
          <w:szCs w:val="28"/>
        </w:rPr>
        <w:t>第三章</w:t>
      </w:r>
      <w:r>
        <w:rPr>
          <w:rFonts w:eastAsia="Times New Roman"/>
          <w:b/>
          <w:sz w:val="28"/>
          <w:szCs w:val="28"/>
        </w:rPr>
        <w:t xml:space="preserve">  </w:t>
      </w:r>
      <w:r>
        <w:rPr>
          <w:rFonts w:eastAsia="仿宋_GB2312;仿宋"/>
          <w:b/>
          <w:sz w:val="28"/>
          <w:szCs w:val="28"/>
        </w:rPr>
        <w:t>突发流动性风险事件的预防和预警</w:t>
      </w:r>
    </w:p>
    <w:p>
      <w:pPr>
        <w:pStyle w:val="Normal"/>
        <w:numPr>
          <w:ilvl w:val="0"/>
          <w:numId w:val="2"/>
        </w:numPr>
        <w:spacing w:lineRule="auto" w:line="360"/>
        <w:ind w:firstLine="560" w:left="0" w:right="0"/>
        <w:jc w:val="both"/>
        <w:rPr>
          <w:rFonts w:eastAsia="仿宋_GB2312;仿宋"/>
          <w:sz w:val="28"/>
          <w:szCs w:val="28"/>
        </w:rPr>
      </w:pPr>
      <w:r>
        <w:rPr>
          <w:rFonts w:eastAsia="仿宋_GB2312;仿宋"/>
          <w:sz w:val="28"/>
          <w:szCs w:val="28"/>
        </w:rPr>
        <w:t>各分支机构和机关各部门应密切关注市场的反应和动态，及时传递信息，最大限度地杜绝决策过程中的信息盲区。严格执行重大事项报告制度，对突发事件对本机构流动性造成的影响做全面评估，并在事件发生第一时间向领导小组办公室报送评估报告。突发事件触发条件主要包括：</w:t>
      </w:r>
      <w:r>
        <w:rPr>
          <w:rFonts w:eastAsia="Times New Roman"/>
          <w:sz w:val="28"/>
          <w:szCs w:val="28"/>
        </w:rPr>
        <w:t xml:space="preserve">  </w:t>
      </w:r>
    </w:p>
    <w:p>
      <w:pPr>
        <w:pStyle w:val="Normal"/>
        <w:spacing w:lineRule="auto" w:line="360"/>
        <w:ind w:firstLine="560" w:right="0"/>
        <w:jc w:val="both"/>
        <w:rPr/>
      </w:pPr>
      <w:r>
        <w:fldChar w:fldCharType="begin"/>
      </w:r>
      <w:r>
        <w:rPr>
          <w:sz w:val="28"/>
          <w:szCs w:val="28"/>
          <w:rFonts w:eastAsia="仿宋_GB2312;仿宋"/>
        </w:rPr>
        <w:instrText xml:space="preserve"> = 1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㈠</w:t>
      </w:r>
      <w:r>
        <w:rPr>
          <w:rFonts w:eastAsia="仿宋_GB2312;仿宋"/>
          <w:sz w:val="28"/>
          <w:szCs w:val="28"/>
        </w:rPr>
      </w:r>
      <w:r>
        <w:rPr>
          <w:sz w:val="28"/>
          <w:szCs w:val="28"/>
          <w:rFonts w:eastAsia="仿宋_GB2312;仿宋"/>
        </w:rPr>
        <w:fldChar w:fldCharType="end"/>
      </w:r>
      <w:r>
        <w:rPr>
          <w:rFonts w:eastAsia="仿宋_GB2312;仿宋"/>
          <w:sz w:val="28"/>
          <w:szCs w:val="28"/>
        </w:rPr>
        <w:t>本机构发生挤兑事件。</w:t>
      </w:r>
    </w:p>
    <w:p>
      <w:pPr>
        <w:pStyle w:val="Normal"/>
        <w:spacing w:lineRule="auto" w:line="360"/>
        <w:ind w:firstLine="560" w:right="0"/>
        <w:jc w:val="both"/>
        <w:rPr/>
      </w:pPr>
      <w:r>
        <w:fldChar w:fldCharType="begin"/>
      </w:r>
      <w:r>
        <w:rPr>
          <w:sz w:val="28"/>
          <w:szCs w:val="28"/>
          <w:rFonts w:eastAsia="仿宋_GB2312;仿宋"/>
        </w:rPr>
        <w:instrText xml:space="preserve"> = 2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㈡</w:t>
      </w:r>
      <w:r>
        <w:rPr>
          <w:rFonts w:eastAsia="仿宋_GB2312;仿宋"/>
          <w:sz w:val="28"/>
          <w:szCs w:val="28"/>
        </w:rPr>
      </w:r>
      <w:r>
        <w:rPr>
          <w:sz w:val="28"/>
          <w:szCs w:val="28"/>
          <w:rFonts w:eastAsia="仿宋_GB2312;仿宋"/>
        </w:rPr>
        <w:fldChar w:fldCharType="end"/>
      </w:r>
      <w:r>
        <w:rPr>
          <w:rFonts w:eastAsia="仿宋_GB2312;仿宋"/>
          <w:sz w:val="28"/>
          <w:szCs w:val="28"/>
        </w:rPr>
        <w:t>短期内核心存款异常大幅下降、存款大户集中清户或连续性异常资金转移。</w:t>
      </w:r>
    </w:p>
    <w:p>
      <w:pPr>
        <w:pStyle w:val="Normal"/>
        <w:spacing w:lineRule="auto" w:line="360"/>
        <w:ind w:firstLine="560" w:right="0"/>
        <w:jc w:val="both"/>
        <w:rPr/>
      </w:pPr>
      <w:r>
        <w:fldChar w:fldCharType="begin"/>
      </w:r>
      <w:r>
        <w:rPr>
          <w:sz w:val="28"/>
          <w:szCs w:val="28"/>
          <w:rFonts w:eastAsia="仿宋_GB2312;仿宋"/>
        </w:rPr>
        <w:instrText xml:space="preserve"> = 3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㈢</w:t>
      </w:r>
      <w:r>
        <w:rPr>
          <w:rFonts w:eastAsia="仿宋_GB2312;仿宋"/>
          <w:sz w:val="28"/>
          <w:szCs w:val="28"/>
        </w:rPr>
      </w:r>
      <w:r>
        <w:rPr>
          <w:sz w:val="28"/>
          <w:szCs w:val="28"/>
          <w:rFonts w:eastAsia="仿宋_GB2312;仿宋"/>
        </w:rPr>
        <w:fldChar w:fldCharType="end"/>
      </w:r>
      <w:r>
        <w:rPr>
          <w:rFonts w:eastAsia="仿宋_GB2312;仿宋"/>
          <w:sz w:val="28"/>
          <w:szCs w:val="28"/>
        </w:rPr>
        <w:t>备付金严重不足，无法开展正常资金清算。</w:t>
      </w:r>
    </w:p>
    <w:p>
      <w:pPr>
        <w:pStyle w:val="Normal"/>
        <w:spacing w:lineRule="auto" w:line="360"/>
        <w:ind w:firstLine="560" w:right="0"/>
        <w:jc w:val="both"/>
        <w:rPr/>
      </w:pPr>
      <w:r>
        <w:fldChar w:fldCharType="begin"/>
      </w:r>
      <w:r>
        <w:rPr>
          <w:sz w:val="28"/>
          <w:szCs w:val="28"/>
          <w:rFonts w:eastAsia="仿宋_GB2312;仿宋"/>
        </w:rPr>
        <w:instrText xml:space="preserve"> = 4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㈣</w:t>
      </w:r>
      <w:r>
        <w:rPr>
          <w:rFonts w:eastAsia="仿宋_GB2312;仿宋"/>
          <w:sz w:val="28"/>
          <w:szCs w:val="28"/>
        </w:rPr>
      </w:r>
      <w:r>
        <w:rPr>
          <w:sz w:val="28"/>
          <w:szCs w:val="28"/>
          <w:rFonts w:eastAsia="仿宋_GB2312;仿宋"/>
        </w:rPr>
        <w:fldChar w:fldCharType="end"/>
      </w:r>
      <w:r>
        <w:rPr>
          <w:rFonts w:eastAsia="仿宋_GB2312;仿宋"/>
          <w:sz w:val="28"/>
          <w:szCs w:val="28"/>
        </w:rPr>
        <w:t>已发生或可能波及到本行业务进行的系统中断或瘫痪事件。</w:t>
      </w:r>
    </w:p>
    <w:p>
      <w:pPr>
        <w:pStyle w:val="Normal"/>
        <w:spacing w:lineRule="auto" w:line="360"/>
        <w:ind w:firstLine="560" w:right="0"/>
        <w:jc w:val="both"/>
        <w:rPr/>
      </w:pPr>
      <w:r>
        <w:fldChar w:fldCharType="begin"/>
      </w:r>
      <w:r>
        <w:rPr>
          <w:sz w:val="28"/>
          <w:szCs w:val="28"/>
          <w:rFonts w:eastAsia="仿宋_GB2312;仿宋"/>
        </w:rPr>
        <w:instrText xml:space="preserve"> = 5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㈤</w:t>
      </w:r>
      <w:r>
        <w:rPr>
          <w:rFonts w:eastAsia="仿宋_GB2312;仿宋"/>
          <w:sz w:val="28"/>
          <w:szCs w:val="28"/>
        </w:rPr>
      </w:r>
      <w:r>
        <w:rPr>
          <w:sz w:val="28"/>
          <w:szCs w:val="28"/>
          <w:rFonts w:eastAsia="仿宋_GB2312;仿宋"/>
        </w:rPr>
        <w:fldChar w:fldCharType="end"/>
      </w:r>
      <w:r>
        <w:rPr>
          <w:rFonts w:eastAsia="仿宋_GB2312;仿宋"/>
          <w:sz w:val="28"/>
          <w:szCs w:val="28"/>
        </w:rPr>
        <w:t>流动性预警指标低于监管容忍度或本行预设控制水平。</w:t>
      </w:r>
    </w:p>
    <w:p>
      <w:pPr>
        <w:pStyle w:val="Normal"/>
        <w:spacing w:lineRule="auto" w:line="360"/>
        <w:ind w:firstLine="560" w:right="0"/>
        <w:jc w:val="both"/>
        <w:rPr/>
      </w:pPr>
      <w:r>
        <w:fldChar w:fldCharType="begin"/>
      </w:r>
      <w:r>
        <w:rPr>
          <w:sz w:val="28"/>
          <w:szCs w:val="28"/>
          <w:rFonts w:eastAsia="仿宋_GB2312;仿宋"/>
        </w:rPr>
        <w:instrText xml:space="preserve"> = 6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㈥</w:t>
      </w:r>
      <w:r>
        <w:rPr>
          <w:rFonts w:eastAsia="仿宋_GB2312;仿宋"/>
          <w:sz w:val="28"/>
          <w:szCs w:val="28"/>
        </w:rPr>
      </w:r>
      <w:r>
        <w:rPr>
          <w:sz w:val="28"/>
          <w:szCs w:val="28"/>
          <w:rFonts w:eastAsia="仿宋_GB2312;仿宋"/>
        </w:rPr>
        <w:fldChar w:fldCharType="end"/>
      </w:r>
      <w:r>
        <w:rPr>
          <w:rFonts w:eastAsia="仿宋_GB2312;仿宋"/>
          <w:sz w:val="28"/>
          <w:szCs w:val="28"/>
        </w:rPr>
        <w:t>社会上出现可能引发突发性流动性风险的各类谣言。</w:t>
      </w:r>
    </w:p>
    <w:p>
      <w:pPr>
        <w:pStyle w:val="Normal"/>
        <w:spacing w:lineRule="auto" w:line="360"/>
        <w:ind w:firstLine="560" w:right="0"/>
        <w:jc w:val="both"/>
        <w:rPr/>
      </w:pPr>
      <w:r>
        <w:fldChar w:fldCharType="begin"/>
      </w:r>
      <w:r>
        <w:rPr>
          <w:sz w:val="28"/>
          <w:szCs w:val="28"/>
          <w:rFonts w:eastAsia="仿宋_GB2312;仿宋"/>
        </w:rPr>
        <w:instrText xml:space="preserve"> = 7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㈦</w:t>
      </w:r>
      <w:r>
        <w:rPr>
          <w:rFonts w:eastAsia="仿宋_GB2312;仿宋"/>
          <w:sz w:val="28"/>
          <w:szCs w:val="28"/>
        </w:rPr>
      </w:r>
      <w:r>
        <w:rPr>
          <w:sz w:val="28"/>
          <w:szCs w:val="28"/>
          <w:rFonts w:eastAsia="仿宋_GB2312;仿宋"/>
        </w:rPr>
        <w:fldChar w:fldCharType="end"/>
      </w:r>
      <w:r>
        <w:rPr>
          <w:rFonts w:eastAsia="仿宋_GB2312;仿宋"/>
          <w:sz w:val="28"/>
          <w:szCs w:val="28"/>
        </w:rPr>
        <w:t>当地其他金融机构发生挤兑、限兑或停兑。</w:t>
      </w:r>
    </w:p>
    <w:p>
      <w:pPr>
        <w:pStyle w:val="Normal"/>
        <w:spacing w:lineRule="auto" w:line="360"/>
        <w:ind w:firstLine="560" w:right="0"/>
        <w:jc w:val="both"/>
        <w:rPr/>
      </w:pPr>
      <w:r>
        <w:fldChar w:fldCharType="begin"/>
      </w:r>
      <w:r>
        <w:rPr>
          <w:sz w:val="28"/>
          <w:szCs w:val="28"/>
          <w:rFonts w:eastAsia="仿宋_GB2312;仿宋"/>
        </w:rPr>
        <w:instrText xml:space="preserve"> = 8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㈧</w:t>
      </w:r>
      <w:r>
        <w:rPr>
          <w:rFonts w:eastAsia="仿宋_GB2312;仿宋"/>
          <w:sz w:val="28"/>
          <w:szCs w:val="28"/>
        </w:rPr>
      </w:r>
      <w:r>
        <w:rPr>
          <w:sz w:val="28"/>
          <w:szCs w:val="28"/>
          <w:rFonts w:eastAsia="仿宋_GB2312;仿宋"/>
        </w:rPr>
        <w:fldChar w:fldCharType="end"/>
      </w:r>
      <w:r>
        <w:rPr>
          <w:rFonts w:eastAsia="仿宋_GB2312;仿宋"/>
          <w:sz w:val="28"/>
          <w:szCs w:val="28"/>
        </w:rPr>
        <w:t>已发生或可能波及到本行的较严重自然灾害。</w:t>
      </w:r>
    </w:p>
    <w:p>
      <w:pPr>
        <w:pStyle w:val="Normal"/>
        <w:spacing w:lineRule="auto" w:line="360"/>
        <w:ind w:firstLine="560" w:right="0"/>
        <w:jc w:val="both"/>
        <w:rPr/>
      </w:pPr>
      <w:r>
        <w:fldChar w:fldCharType="begin"/>
      </w:r>
      <w:r>
        <w:rPr>
          <w:sz w:val="28"/>
          <w:szCs w:val="28"/>
          <w:rFonts w:eastAsia="仿宋_GB2312;仿宋"/>
        </w:rPr>
        <w:instrText xml:space="preserve"> = 9 \* GB4 \* MERGEFORMAT </w:instrText>
      </w:r>
      <w:r>
        <w:rPr>
          <w:rFonts w:eastAsia="仿宋_GB2312;仿宋"/>
          <w:sz w:val="28"/>
          <w:szCs w:val="28"/>
        </w:rPr>
      </w:r>
      <w:r>
        <w:rPr>
          <w:sz w:val="28"/>
          <w:szCs w:val="28"/>
          <w:rFonts w:eastAsia="仿宋_GB2312;仿宋"/>
        </w:rPr>
        <w:fldChar w:fldCharType="separate"/>
      </w:r>
      <w:r>
        <w:rPr>
          <w:rFonts w:eastAsia="仿宋_GB2312;仿宋"/>
          <w:sz w:val="28"/>
          <w:szCs w:val="28"/>
        </w:rPr>
      </w:r>
      <w:r>
        <w:rPr>
          <w:rFonts w:eastAsia="仿宋_GB2312;仿宋"/>
          <w:sz w:val="28"/>
          <w:szCs w:val="28"/>
        </w:rPr>
        <w:t>㈨</w:t>
      </w:r>
      <w:r>
        <w:rPr>
          <w:rFonts w:eastAsia="仿宋_GB2312;仿宋"/>
          <w:sz w:val="28"/>
          <w:szCs w:val="28"/>
        </w:rPr>
      </w:r>
      <w:r>
        <w:rPr>
          <w:sz w:val="28"/>
          <w:szCs w:val="28"/>
          <w:rFonts w:eastAsia="仿宋_GB2312;仿宋"/>
        </w:rPr>
        <w:fldChar w:fldCharType="end"/>
      </w:r>
      <w:r>
        <w:rPr>
          <w:rFonts w:eastAsia="仿宋_GB2312;仿宋"/>
          <w:sz w:val="28"/>
          <w:szCs w:val="28"/>
        </w:rPr>
        <w:t>可能引发流动性风险的其他突发事件。</w:t>
      </w:r>
    </w:p>
    <w:p>
      <w:pPr>
        <w:pStyle w:val="Normal"/>
        <w:spacing w:lineRule="auto" w:line="360"/>
        <w:ind w:firstLine="560" w:right="0"/>
        <w:jc w:val="both"/>
        <w:rPr>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计划财务部牵头，各业务部门配合，加强全行资产负债比例管理，重视资产、负债的期限匹配和数量匹配，合理安排贷款投放规模与节奏</w:t>
      </w:r>
      <w:r>
        <w:rPr>
          <w:rFonts w:eastAsia="仿宋_GB2312;仿宋"/>
          <w:sz w:val="28"/>
          <w:szCs w:val="28"/>
        </w:rPr>
        <w:t>,</w:t>
      </w:r>
      <w:r>
        <w:rPr>
          <w:rFonts w:eastAsia="仿宋_GB2312;仿宋"/>
          <w:sz w:val="28"/>
          <w:szCs w:val="28"/>
        </w:rPr>
        <w:t>保持适当的存贷比。</w:t>
      </w:r>
    </w:p>
    <w:p>
      <w:pPr>
        <w:pStyle w:val="Normal"/>
        <w:spacing w:lineRule="auto" w:line="360"/>
        <w:ind w:firstLine="560" w:right="0"/>
        <w:jc w:val="both"/>
        <w:rPr/>
      </w:pPr>
      <w:r>
        <w:rPr>
          <w:rFonts w:eastAsia="仿宋_GB2312;仿宋"/>
          <w:sz w:val="28"/>
          <w:szCs w:val="28"/>
        </w:rPr>
        <w:t>第七条</w:t>
      </w:r>
      <w:r>
        <w:rPr>
          <w:rFonts w:eastAsia="Times New Roman"/>
          <w:sz w:val="28"/>
          <w:szCs w:val="28"/>
        </w:rPr>
        <w:t xml:space="preserve"> </w:t>
      </w:r>
      <w:r>
        <w:rPr>
          <w:rFonts w:eastAsia="仿宋_GB2312;仿宋"/>
          <w:sz w:val="28"/>
          <w:szCs w:val="28"/>
        </w:rPr>
        <w:t>计划财务部应综合衡量流动性、安全性和效益性之间的关系，对央行可能采取的紧缩流动性调控措施提前做好充分准备；坚持每日对资金头寸进行监测，防止头寸不足，保证一定的超额备付余额。</w:t>
      </w:r>
    </w:p>
    <w:p>
      <w:pPr>
        <w:pStyle w:val="Normal"/>
        <w:spacing w:lineRule="auto" w:line="360"/>
        <w:ind w:firstLine="560" w:right="0"/>
        <w:jc w:val="both"/>
        <w:rPr/>
      </w:pPr>
      <w:r>
        <w:rPr>
          <w:rFonts w:eastAsia="仿宋_GB2312;仿宋"/>
          <w:sz w:val="28"/>
          <w:szCs w:val="28"/>
        </w:rPr>
        <w:t>第八条</w:t>
      </w:r>
      <w:r>
        <w:rPr>
          <w:rFonts w:eastAsia="Times New Roman"/>
          <w:sz w:val="28"/>
          <w:szCs w:val="28"/>
        </w:rPr>
        <w:t xml:space="preserve"> </w:t>
      </w:r>
      <w:r>
        <w:rPr>
          <w:rFonts w:eastAsia="仿宋_GB2312;仿宋"/>
          <w:sz w:val="28"/>
          <w:szCs w:val="28"/>
        </w:rPr>
        <w:t>计划财务部应逐步建立和完善流动性风险监测技术，努力运用情景分析等方法，提高应对多种不利情况下流动性问题的能力，做到防患于未然。流动性比例必须达到</w:t>
      </w:r>
      <w:r>
        <w:rPr>
          <w:rFonts w:eastAsia="Times New Roman"/>
          <w:sz w:val="28"/>
          <w:szCs w:val="28"/>
        </w:rPr>
        <w:t xml:space="preserve"> </w:t>
      </w:r>
      <w:r>
        <w:rPr>
          <w:rFonts w:eastAsia="仿宋_GB2312;仿宋"/>
          <w:sz w:val="28"/>
          <w:szCs w:val="28"/>
        </w:rPr>
        <w:t>25%</w:t>
      </w:r>
      <w:r>
        <w:rPr>
          <w:rFonts w:eastAsia="仿宋_GB2312;仿宋"/>
          <w:sz w:val="28"/>
          <w:szCs w:val="28"/>
        </w:rPr>
        <w:t>以上。</w:t>
      </w:r>
    </w:p>
    <w:p>
      <w:pPr>
        <w:pStyle w:val="Normal"/>
        <w:spacing w:lineRule="auto" w:line="360"/>
        <w:ind w:firstLine="560" w:right="0"/>
        <w:jc w:val="both"/>
        <w:rPr>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计划财务部对照流动性风险预警指标，至少每年对应急计划进行一次监测和评估，必要时时行修订。若发生异常情况，必须及时报告，以便及时启动应急预案。</w:t>
      </w:r>
    </w:p>
    <w:p>
      <w:pPr>
        <w:pStyle w:val="Normal"/>
        <w:spacing w:lineRule="auto" w:line="360"/>
        <w:ind w:firstLine="560" w:right="0"/>
        <w:jc w:val="both"/>
        <w:rPr>
          <w:rFonts w:eastAsia="仿宋_GB2312;仿宋"/>
        </w:rPr>
      </w:pPr>
      <w:r>
        <w:rPr>
          <w:rFonts w:eastAsia="仿宋_GB2312;仿宋"/>
          <w:sz w:val="28"/>
          <w:szCs w:val="28"/>
        </w:rPr>
        <w:t>第十条</w:t>
      </w:r>
      <w:r>
        <w:rPr>
          <w:rFonts w:eastAsia="Times New Roman"/>
          <w:sz w:val="28"/>
          <w:szCs w:val="28"/>
        </w:rPr>
        <w:t xml:space="preserve"> </w:t>
      </w:r>
      <w:r>
        <w:rPr>
          <w:rFonts w:eastAsia="仿宋_GB2312;仿宋"/>
          <w:sz w:val="28"/>
          <w:szCs w:val="28"/>
        </w:rPr>
        <w:t>运行管理部负责支付结算及库存现金管理，在发生挤兑、现金库存不足时，与人民银行进行协商，及时调运现金以确保现金正常支付。</w:t>
      </w:r>
      <w:r>
        <w:rPr>
          <w:rFonts w:eastAsia="Times New Roman"/>
          <w:sz w:val="28"/>
          <w:szCs w:val="28"/>
        </w:rPr>
        <w:t xml:space="preserve"> </w:t>
      </w:r>
    </w:p>
    <w:p>
      <w:pPr>
        <w:pStyle w:val="Normal"/>
        <w:spacing w:lineRule="auto" w:line="360"/>
        <w:ind w:firstLine="560" w:right="0"/>
        <w:jc w:val="both"/>
        <w:rPr>
          <w:sz w:val="28"/>
          <w:szCs w:val="28"/>
        </w:rPr>
      </w:pPr>
      <w:r>
        <w:rPr>
          <w:rFonts w:eastAsia="仿宋_GB2312;仿宋"/>
          <w:sz w:val="28"/>
          <w:szCs w:val="28"/>
        </w:rPr>
        <w:t>第十一条</w:t>
      </w:r>
      <w:r>
        <w:rPr>
          <w:rFonts w:eastAsia="Times New Roman"/>
          <w:sz w:val="28"/>
          <w:szCs w:val="28"/>
        </w:rPr>
        <w:t xml:space="preserve"> </w:t>
      </w:r>
      <w:r>
        <w:rPr>
          <w:rFonts w:eastAsia="仿宋_GB2312;仿宋"/>
          <w:sz w:val="28"/>
          <w:szCs w:val="28"/>
        </w:rPr>
        <w:t>金融市场部负责资金的头寸调度，在头寸不足时及时进行资金调度，缓释流动性风险。</w:t>
      </w:r>
    </w:p>
    <w:p>
      <w:pPr>
        <w:pStyle w:val="Normal"/>
        <w:spacing w:lineRule="auto" w:line="360"/>
        <w:ind w:firstLine="560" w:right="0"/>
        <w:jc w:val="both"/>
        <w:rPr/>
      </w:pPr>
      <w:r>
        <w:rPr>
          <w:rFonts w:eastAsia="仿宋_GB2312;仿宋"/>
          <w:sz w:val="28"/>
          <w:szCs w:val="28"/>
        </w:rPr>
        <w:t>第十二条</w:t>
      </w:r>
      <w:r>
        <w:rPr>
          <w:rFonts w:eastAsia="Times New Roman"/>
          <w:sz w:val="28"/>
          <w:szCs w:val="28"/>
        </w:rPr>
        <w:t xml:space="preserve"> </w:t>
      </w:r>
      <w:r>
        <w:rPr>
          <w:rFonts w:eastAsia="仿宋_GB2312;仿宋"/>
          <w:sz w:val="28"/>
          <w:szCs w:val="28"/>
        </w:rPr>
        <w:t>行政</w:t>
      </w:r>
      <w:r>
        <w:rPr>
          <w:rFonts w:eastAsia="仿宋_GB2312;仿宋"/>
          <w:sz w:val="28"/>
          <w:szCs w:val="28"/>
        </w:rPr>
        <w:t>办公室负责制定对外答复口径、与上级主管部门沟通协调、媒体联络与舆情监控；及时了解和掌握系统内员工的思想动态及社会反映；对不安定因素、风险隐患及突发事件要及时发现、及时报告；与当地政府、公安机关沟通、协调，确保得到公安机关的帮助和支持；维持现场秩序，控制事态发展。</w:t>
      </w:r>
    </w:p>
    <w:p>
      <w:pPr>
        <w:pStyle w:val="Normal"/>
        <w:spacing w:lineRule="auto" w:line="360"/>
        <w:jc w:val="center"/>
        <w:rPr>
          <w:rFonts w:eastAsia="仿宋_GB2312;仿宋"/>
          <w:sz w:val="28"/>
          <w:szCs w:val="28"/>
        </w:rPr>
      </w:pPr>
      <w:r>
        <w:rPr>
          <w:rFonts w:eastAsia="仿宋_GB2312;仿宋"/>
          <w:sz w:val="28"/>
          <w:szCs w:val="28"/>
        </w:rPr>
      </w:r>
    </w:p>
    <w:p>
      <w:pPr>
        <w:pStyle w:val="Normal"/>
        <w:spacing w:lineRule="auto" w:line="360"/>
        <w:jc w:val="center"/>
        <w:rPr>
          <w:b/>
          <w:sz w:val="28"/>
          <w:szCs w:val="28"/>
        </w:rPr>
      </w:pPr>
      <w:r>
        <w:rPr>
          <w:rFonts w:eastAsia="仿宋_GB2312;仿宋"/>
          <w:b/>
          <w:sz w:val="28"/>
          <w:szCs w:val="28"/>
        </w:rPr>
        <w:t>第四章</w:t>
      </w:r>
      <w:r>
        <w:rPr>
          <w:rFonts w:eastAsia="Times New Roman"/>
          <w:b/>
          <w:sz w:val="28"/>
          <w:szCs w:val="28"/>
        </w:rPr>
        <w:t xml:space="preserve">  </w:t>
      </w:r>
      <w:r>
        <w:rPr>
          <w:rFonts w:eastAsia="仿宋_GB2312;仿宋"/>
          <w:b/>
          <w:sz w:val="28"/>
          <w:szCs w:val="28"/>
        </w:rPr>
        <w:t>突发流动性风险事件的应急处置</w:t>
      </w:r>
    </w:p>
    <w:p>
      <w:pPr>
        <w:pStyle w:val="Normal"/>
        <w:spacing w:lineRule="auto" w:line="360"/>
        <w:ind w:firstLine="560" w:right="0"/>
        <w:jc w:val="both"/>
        <w:rPr>
          <w:sz w:val="28"/>
          <w:szCs w:val="28"/>
        </w:rPr>
      </w:pPr>
      <w:r>
        <w:rPr>
          <w:rFonts w:eastAsia="仿宋_GB2312;仿宋"/>
          <w:sz w:val="28"/>
          <w:szCs w:val="28"/>
        </w:rPr>
        <w:t>第十三条</w:t>
      </w:r>
      <w:r>
        <w:rPr>
          <w:rFonts w:eastAsia="Times New Roman"/>
          <w:sz w:val="28"/>
          <w:szCs w:val="28"/>
        </w:rPr>
        <w:t xml:space="preserve"> </w:t>
      </w:r>
      <w:r>
        <w:rPr>
          <w:rFonts w:eastAsia="仿宋_GB2312;仿宋"/>
          <w:sz w:val="28"/>
          <w:szCs w:val="28"/>
        </w:rPr>
        <w:t>发生突发流动性风险事件应坚持依法、快速、高效、稳妥、保密的处置原则。</w:t>
      </w:r>
    </w:p>
    <w:p>
      <w:pPr>
        <w:pStyle w:val="Normal"/>
        <w:spacing w:lineRule="auto" w:line="360"/>
        <w:ind w:firstLine="560" w:right="0"/>
        <w:jc w:val="both"/>
        <w:rPr/>
      </w:pPr>
      <w:r>
        <w:rPr>
          <w:rFonts w:eastAsia="仿宋_GB2312;仿宋"/>
          <w:sz w:val="28"/>
          <w:szCs w:val="28"/>
        </w:rPr>
        <w:t>（一）依法原则：即在处置突发流动性风险事件过程中，要注意掌握政策、依法办事，不得采取非法、违规手段使问题复杂化。</w:t>
      </w:r>
    </w:p>
    <w:p>
      <w:pPr>
        <w:pStyle w:val="Normal"/>
        <w:spacing w:lineRule="auto" w:line="360"/>
        <w:ind w:firstLine="560" w:right="0"/>
        <w:jc w:val="both"/>
        <w:rPr>
          <w:rFonts w:eastAsia="仿宋_GB2312;仿宋"/>
          <w:sz w:val="28"/>
          <w:szCs w:val="28"/>
        </w:rPr>
      </w:pPr>
      <w:r>
        <w:rPr>
          <w:rFonts w:eastAsia="仿宋_GB2312;仿宋"/>
          <w:sz w:val="28"/>
          <w:szCs w:val="28"/>
        </w:rPr>
        <w:t>（二）快速原则：即发现问题，立即启动预案及时处置，制止事态进一步发展，将风险损失降低到最小程度。</w:t>
      </w:r>
    </w:p>
    <w:p>
      <w:pPr>
        <w:pStyle w:val="Normal"/>
        <w:spacing w:lineRule="auto" w:line="360"/>
        <w:ind w:firstLine="560" w:right="0"/>
        <w:jc w:val="both"/>
        <w:rPr>
          <w:rFonts w:eastAsia="仿宋_GB2312;仿宋"/>
          <w:sz w:val="28"/>
          <w:szCs w:val="28"/>
        </w:rPr>
      </w:pPr>
      <w:r>
        <w:rPr>
          <w:rFonts w:eastAsia="仿宋_GB2312;仿宋"/>
          <w:sz w:val="28"/>
          <w:szCs w:val="28"/>
        </w:rPr>
        <w:t>（三）高效原则：即处置突发流动性风险事件，应按照统一指挥、措施得力，统筹协调、部门联动的原则组织实施，相关部门应按照自身的权限和职责，各司其职，服从指挥。</w:t>
      </w:r>
    </w:p>
    <w:p>
      <w:pPr>
        <w:pStyle w:val="Normal"/>
        <w:spacing w:lineRule="auto" w:line="360"/>
        <w:ind w:firstLine="560" w:right="0"/>
        <w:jc w:val="both"/>
        <w:rPr>
          <w:rFonts w:eastAsia="仿宋_GB2312;仿宋"/>
          <w:sz w:val="28"/>
          <w:szCs w:val="28"/>
        </w:rPr>
      </w:pPr>
      <w:r>
        <w:rPr>
          <w:rFonts w:eastAsia="仿宋_GB2312;仿宋"/>
          <w:sz w:val="28"/>
          <w:szCs w:val="28"/>
        </w:rPr>
        <w:t>（四）稳妥原则：即处置突发流动性风险事件，必须积极主动，快速反应，冷静、有序、果断，有效控制局势，做到指挥统一、宣传解释统一、行动步骤统一、不失控、不失序、不失真。</w:t>
      </w:r>
    </w:p>
    <w:p>
      <w:pPr>
        <w:pStyle w:val="Normal"/>
        <w:spacing w:lineRule="auto" w:line="360"/>
        <w:ind w:firstLine="560" w:right="0"/>
        <w:jc w:val="both"/>
        <w:rPr/>
      </w:pPr>
      <w:r>
        <w:rPr>
          <w:rFonts w:eastAsia="仿宋_GB2312;仿宋"/>
          <w:sz w:val="28"/>
          <w:szCs w:val="28"/>
        </w:rPr>
        <w:t>（五）保密原则：即应急处置领导小组各成员要遵守职业道德和组织纪律，保守国家秘密，对于涉及到机密</w:t>
      </w:r>
      <w:r>
        <w:rPr>
          <w:rFonts w:eastAsia="仿宋_GB2312;仿宋"/>
          <w:sz w:val="28"/>
          <w:szCs w:val="28"/>
        </w:rPr>
        <w:t>(</w:t>
      </w:r>
      <w:r>
        <w:rPr>
          <w:rFonts w:eastAsia="仿宋_GB2312;仿宋"/>
          <w:sz w:val="28"/>
          <w:szCs w:val="28"/>
        </w:rPr>
        <w:t>含</w:t>
      </w:r>
      <w:r>
        <w:rPr>
          <w:rFonts w:eastAsia="仿宋_GB2312;仿宋"/>
          <w:sz w:val="28"/>
          <w:szCs w:val="28"/>
        </w:rPr>
        <w:t>)</w:t>
      </w:r>
      <w:r>
        <w:rPr>
          <w:rFonts w:eastAsia="仿宋_GB2312;仿宋"/>
          <w:sz w:val="28"/>
          <w:szCs w:val="28"/>
        </w:rPr>
        <w:t>以上的事项，应严格遵守保密法规，不得泄漏。</w:t>
      </w:r>
    </w:p>
    <w:p>
      <w:pPr>
        <w:pStyle w:val="Normal"/>
        <w:spacing w:lineRule="auto" w:line="360"/>
        <w:ind w:firstLine="560" w:right="0"/>
        <w:jc w:val="both"/>
        <w:rPr>
          <w:sz w:val="28"/>
          <w:szCs w:val="28"/>
        </w:rPr>
      </w:pPr>
      <w:r>
        <w:rPr>
          <w:rFonts w:eastAsia="仿宋_GB2312;仿宋"/>
          <w:sz w:val="28"/>
          <w:szCs w:val="28"/>
        </w:rPr>
        <w:t>第十四条</w:t>
      </w:r>
      <w:r>
        <w:rPr>
          <w:rFonts w:eastAsia="Times New Roman"/>
          <w:sz w:val="28"/>
          <w:szCs w:val="28"/>
        </w:rPr>
        <w:t xml:space="preserve"> </w:t>
      </w:r>
      <w:r>
        <w:rPr>
          <w:rFonts w:eastAsia="仿宋_GB2312;仿宋"/>
          <w:sz w:val="28"/>
          <w:szCs w:val="28"/>
        </w:rPr>
        <w:t>突发流动性风险的应急预案处置措施发生突发流动性风险事件后，应急预案处置领导小组应立即启动资金救助应急预案。资金救助原则上遵循自我救助、行业救助、同业救助、人民银行救助等顺序，但情况紧急时，也可从快从速，多法并举，快速、稳妥地处置各种流动性风险。</w:t>
      </w:r>
    </w:p>
    <w:p>
      <w:pPr>
        <w:pStyle w:val="Normal"/>
        <w:spacing w:lineRule="auto" w:line="360"/>
        <w:ind w:firstLine="560" w:right="0"/>
        <w:jc w:val="both"/>
        <w:rPr/>
      </w:pPr>
      <w:r>
        <w:rPr>
          <w:rFonts w:eastAsia="仿宋_GB2312;仿宋"/>
          <w:sz w:val="28"/>
          <w:szCs w:val="28"/>
        </w:rPr>
        <w:t>（一）自我救助：主要措施有大力组织存款、调整资产组合、控制贷款投放、提前收回贷款、卖出持有债券、变卖固定资产、要求股东增补股本金等。</w:t>
      </w:r>
    </w:p>
    <w:p>
      <w:pPr>
        <w:pStyle w:val="Normal"/>
        <w:spacing w:lineRule="auto" w:line="360"/>
        <w:ind w:firstLine="560" w:right="0"/>
        <w:jc w:val="both"/>
        <w:rPr>
          <w:rFonts w:eastAsia="仿宋_GB2312;仿宋"/>
          <w:sz w:val="28"/>
          <w:szCs w:val="28"/>
        </w:rPr>
      </w:pPr>
      <w:r>
        <w:rPr>
          <w:rFonts w:eastAsia="仿宋_GB2312;仿宋"/>
          <w:sz w:val="28"/>
          <w:szCs w:val="28"/>
        </w:rPr>
        <w:t>（二）行业救助：通过省联社系统内资金调剂，并与省联社订立协议，取得流动性互助借款。</w:t>
      </w:r>
    </w:p>
    <w:p>
      <w:pPr>
        <w:pStyle w:val="Normal"/>
        <w:spacing w:lineRule="auto" w:line="360"/>
        <w:ind w:firstLine="560" w:right="0"/>
        <w:jc w:val="both"/>
        <w:rPr>
          <w:rFonts w:eastAsia="仿宋_GB2312;仿宋"/>
          <w:sz w:val="28"/>
          <w:szCs w:val="28"/>
        </w:rPr>
      </w:pPr>
      <w:r>
        <w:rPr>
          <w:rFonts w:eastAsia="仿宋_GB2312;仿宋"/>
          <w:sz w:val="28"/>
          <w:szCs w:val="28"/>
        </w:rPr>
        <w:t>（三）同业救助：通过银行间市场融资、全国银行间同业拆借市场和债券市场交易系统等方式，及时融入资金，包括同业存款、同业拆借、债券回购、票据回购等。</w:t>
      </w:r>
    </w:p>
    <w:p>
      <w:pPr>
        <w:pStyle w:val="Normal"/>
        <w:spacing w:lineRule="auto" w:line="360"/>
        <w:ind w:firstLine="560" w:right="0"/>
        <w:jc w:val="both"/>
        <w:rPr>
          <w:rFonts w:eastAsia="仿宋_GB2312;仿宋"/>
          <w:sz w:val="28"/>
          <w:szCs w:val="28"/>
        </w:rPr>
      </w:pPr>
      <w:r>
        <w:rPr>
          <w:rFonts w:eastAsia="仿宋_GB2312;仿宋"/>
          <w:sz w:val="28"/>
          <w:szCs w:val="28"/>
        </w:rPr>
        <w:t>（四）人民银行救助：向人民银行申请短期再贷款、再贴现，订立《常备借贷便利》，提出救助申请。在采取一切必要的手段后，仍存在严重支付困难但又不符合再贷款条件的，可以申请动用法定存款准备金。</w:t>
      </w:r>
    </w:p>
    <w:p>
      <w:pPr>
        <w:pStyle w:val="Normal"/>
        <w:spacing w:lineRule="auto" w:line="360"/>
        <w:ind w:firstLine="560" w:right="0"/>
        <w:jc w:val="both"/>
        <w:rPr/>
      </w:pPr>
      <w:r>
        <w:rPr>
          <w:rFonts w:eastAsia="仿宋_GB2312;仿宋"/>
          <w:sz w:val="28"/>
          <w:szCs w:val="28"/>
        </w:rPr>
        <w:t>第十五条</w:t>
      </w:r>
      <w:r>
        <w:rPr>
          <w:rFonts w:eastAsia="Times New Roman"/>
          <w:sz w:val="28"/>
          <w:szCs w:val="28"/>
        </w:rPr>
        <w:t xml:space="preserve"> </w:t>
      </w:r>
      <w:r>
        <w:rPr>
          <w:rFonts w:eastAsia="仿宋_GB2312;仿宋"/>
          <w:sz w:val="28"/>
          <w:szCs w:val="28"/>
        </w:rPr>
        <w:t>突发事件发生后，应急预案处置领导小组应在事件发生的第一时间内将相关情况向人民银行、银监分局、省联社及当地政府报告，并通报公安机关。报告的内容包括：事件发生的时间、地点；事件发生的原因、性质、等级、可能涉及的金额和人数、危害程度、影响范围以及事件发生后的社会稳定情况；事态发展趋势、可能造成的损失、已经及拟进一步采取的措施；其他与本事件有关的内容。</w:t>
      </w:r>
    </w:p>
    <w:p>
      <w:pPr>
        <w:pStyle w:val="Normal"/>
        <w:spacing w:lineRule="auto" w:line="360"/>
        <w:jc w:val="center"/>
        <w:rPr>
          <w:rFonts w:eastAsia="仿宋_GB2312;仿宋"/>
          <w:sz w:val="28"/>
          <w:szCs w:val="28"/>
        </w:rPr>
      </w:pPr>
      <w:r>
        <w:rPr>
          <w:rFonts w:eastAsia="仿宋_GB2312;仿宋"/>
          <w:sz w:val="28"/>
          <w:szCs w:val="28"/>
        </w:rPr>
      </w:r>
    </w:p>
    <w:p>
      <w:pPr>
        <w:pStyle w:val="Normal"/>
        <w:spacing w:lineRule="auto" w:line="360"/>
        <w:jc w:val="center"/>
        <w:rPr>
          <w:b/>
          <w:sz w:val="28"/>
          <w:szCs w:val="28"/>
        </w:rPr>
      </w:pPr>
      <w:r>
        <w:rPr>
          <w:rFonts w:eastAsia="仿宋_GB2312;仿宋"/>
          <w:b/>
          <w:sz w:val="28"/>
          <w:szCs w:val="28"/>
        </w:rPr>
        <w:t>第五章</w:t>
      </w:r>
      <w:r>
        <w:rPr>
          <w:rFonts w:eastAsia="Times New Roman"/>
          <w:b/>
          <w:sz w:val="28"/>
          <w:szCs w:val="28"/>
        </w:rPr>
        <w:t xml:space="preserve">  </w:t>
      </w:r>
      <w:r>
        <w:rPr>
          <w:rFonts w:eastAsia="仿宋_GB2312;仿宋"/>
          <w:b/>
          <w:sz w:val="28"/>
          <w:szCs w:val="28"/>
        </w:rPr>
        <w:t>突发流动性风险事件的后期处置</w:t>
      </w:r>
    </w:p>
    <w:p>
      <w:pPr>
        <w:pStyle w:val="Normal"/>
        <w:spacing w:lineRule="auto" w:line="360"/>
        <w:ind w:firstLine="560" w:right="0"/>
        <w:jc w:val="both"/>
        <w:rPr/>
      </w:pPr>
      <w:r>
        <w:rPr>
          <w:rFonts w:eastAsia="仿宋_GB2312;仿宋"/>
          <w:sz w:val="28"/>
          <w:szCs w:val="28"/>
        </w:rPr>
        <w:t>第十六条</w:t>
      </w:r>
      <w:r>
        <w:rPr>
          <w:rFonts w:eastAsia="Times New Roman"/>
          <w:sz w:val="28"/>
          <w:szCs w:val="28"/>
        </w:rPr>
        <w:t xml:space="preserve"> </w:t>
      </w:r>
      <w:r>
        <w:rPr>
          <w:rFonts w:eastAsia="仿宋_GB2312;仿宋"/>
          <w:sz w:val="28"/>
          <w:szCs w:val="28"/>
        </w:rPr>
        <w:t>突发流动性风险事件应急处置完毕后，应在各方帮助下，尽快组织恢复正常的营业秩序，协调新闻单位做好正面宣传报道工作，把握正确的舆论宣传导向，最大程度地降低突发流动性风险事件带来的不良影响。同时，要密切关注流动性情况，严防突发流动性风险事件出现反复。</w:t>
      </w:r>
    </w:p>
    <w:p>
      <w:pPr>
        <w:pStyle w:val="Normal"/>
        <w:spacing w:lineRule="auto" w:line="360"/>
        <w:ind w:firstLine="560" w:right="0"/>
        <w:jc w:val="both"/>
        <w:rPr>
          <w:sz w:val="28"/>
          <w:szCs w:val="28"/>
        </w:rPr>
      </w:pPr>
      <w:r>
        <w:rPr>
          <w:rFonts w:eastAsia="仿宋_GB2312;仿宋"/>
          <w:sz w:val="28"/>
          <w:szCs w:val="28"/>
        </w:rPr>
        <w:t>第十七条</w:t>
      </w:r>
      <w:r>
        <w:rPr>
          <w:rFonts w:eastAsia="Times New Roman"/>
          <w:sz w:val="28"/>
          <w:szCs w:val="28"/>
        </w:rPr>
        <w:t xml:space="preserve"> </w:t>
      </w:r>
      <w:r>
        <w:rPr>
          <w:rFonts w:eastAsia="仿宋_GB2312;仿宋"/>
          <w:sz w:val="28"/>
          <w:szCs w:val="28"/>
        </w:rPr>
        <w:t>突发流动性风险事件处置完毕后，要及时对事件的原因及全过程进行彻底调查，并追究相关人员的责任。有下列行为之一的，视情节轻重，给予相关责任人员相应的行政或纪律处分：</w:t>
      </w:r>
    </w:p>
    <w:p>
      <w:pPr>
        <w:pStyle w:val="Normal"/>
        <w:spacing w:lineRule="auto" w:line="360"/>
        <w:ind w:firstLine="560" w:right="0"/>
        <w:jc w:val="both"/>
        <w:rPr>
          <w:rFonts w:eastAsia="仿宋_GB2312;仿宋"/>
          <w:sz w:val="28"/>
          <w:szCs w:val="28"/>
        </w:rPr>
      </w:pPr>
      <w:r>
        <w:rPr>
          <w:rFonts w:eastAsia="仿宋_GB2312;仿宋"/>
          <w:sz w:val="28"/>
          <w:szCs w:val="28"/>
        </w:rPr>
        <w:t>（一）故意隐瞒风险情况造成风险蔓延扩大的；</w:t>
      </w:r>
    </w:p>
    <w:p>
      <w:pPr>
        <w:pStyle w:val="Normal"/>
        <w:spacing w:lineRule="auto" w:line="360"/>
        <w:ind w:firstLine="560" w:right="0"/>
        <w:jc w:val="both"/>
        <w:rPr>
          <w:rFonts w:eastAsia="仿宋_GB2312;仿宋"/>
          <w:sz w:val="28"/>
          <w:szCs w:val="28"/>
        </w:rPr>
      </w:pPr>
      <w:r>
        <w:rPr>
          <w:rFonts w:eastAsia="仿宋_GB2312;仿宋"/>
          <w:sz w:val="28"/>
          <w:szCs w:val="28"/>
        </w:rPr>
        <w:t>（二）风险事件发生后应急处置不力的；</w:t>
      </w:r>
    </w:p>
    <w:p>
      <w:pPr>
        <w:pStyle w:val="Normal"/>
        <w:spacing w:lineRule="auto" w:line="360"/>
        <w:ind w:firstLine="560" w:right="0"/>
        <w:jc w:val="both"/>
        <w:rPr>
          <w:rFonts w:eastAsia="仿宋_GB2312;仿宋"/>
          <w:sz w:val="28"/>
          <w:szCs w:val="28"/>
        </w:rPr>
      </w:pPr>
      <w:r>
        <w:rPr>
          <w:rFonts w:eastAsia="仿宋_GB2312;仿宋"/>
          <w:sz w:val="28"/>
          <w:szCs w:val="28"/>
        </w:rPr>
        <w:t>（三）发生风险事件后未及时向有关部门报告的；</w:t>
      </w:r>
    </w:p>
    <w:p>
      <w:pPr>
        <w:pStyle w:val="Normal"/>
        <w:spacing w:lineRule="auto" w:line="360"/>
        <w:ind w:firstLine="560" w:right="0"/>
        <w:jc w:val="both"/>
        <w:rPr>
          <w:rFonts w:eastAsia="仿宋_GB2312;仿宋"/>
          <w:sz w:val="28"/>
          <w:szCs w:val="28"/>
        </w:rPr>
      </w:pPr>
      <w:r>
        <w:rPr>
          <w:rFonts w:eastAsia="仿宋_GB2312;仿宋"/>
          <w:sz w:val="28"/>
          <w:szCs w:val="28"/>
        </w:rPr>
        <w:t>（四）未经批准向外界泄漏风险情况酿成不良后果的。</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b/>
          <w:sz w:val="28"/>
          <w:szCs w:val="28"/>
        </w:rPr>
      </w:pPr>
      <w:r>
        <w:rPr>
          <w:rFonts w:eastAsia="仿宋_GB2312;仿宋"/>
          <w:b/>
          <w:sz w:val="28"/>
          <w:szCs w:val="28"/>
        </w:rPr>
        <w:t>第六章</w:t>
      </w:r>
      <w:r>
        <w:rPr>
          <w:rFonts w:eastAsia="Times New Roman"/>
          <w:b/>
          <w:sz w:val="28"/>
          <w:szCs w:val="28"/>
        </w:rPr>
        <w:t xml:space="preserve">  </w:t>
      </w:r>
      <w:r>
        <w:rPr>
          <w:rFonts w:eastAsia="仿宋_GB2312;仿宋"/>
          <w:b/>
          <w:sz w:val="28"/>
          <w:szCs w:val="28"/>
        </w:rPr>
        <w:t>附</w:t>
      </w:r>
      <w:r>
        <w:rPr>
          <w:rFonts w:eastAsia="仿宋_GB2312;仿宋"/>
          <w:b/>
          <w:sz w:val="28"/>
          <w:szCs w:val="28"/>
        </w:rPr>
        <w:tab/>
        <w:t xml:space="preserve">  </w:t>
      </w:r>
      <w:r>
        <w:rPr>
          <w:rFonts w:eastAsia="仿宋_GB2312;仿宋"/>
          <w:b/>
          <w:sz w:val="28"/>
          <w:szCs w:val="28"/>
        </w:rPr>
        <w:t>则</w:t>
      </w:r>
    </w:p>
    <w:p>
      <w:pPr>
        <w:pStyle w:val="Normal"/>
        <w:spacing w:lineRule="auto" w:line="360"/>
        <w:ind w:firstLine="560" w:right="0"/>
        <w:jc w:val="both"/>
        <w:rPr/>
      </w:pPr>
      <w:r>
        <w:rPr>
          <w:rFonts w:eastAsia="仿宋_GB2312;仿宋"/>
          <w:sz w:val="28"/>
          <w:szCs w:val="28"/>
        </w:rPr>
        <w:t>第十八条</w:t>
      </w:r>
      <w:r>
        <w:rPr>
          <w:rFonts w:eastAsia="Times New Roman"/>
          <w:sz w:val="28"/>
          <w:szCs w:val="28"/>
        </w:rPr>
        <w:t xml:space="preserve"> </w:t>
      </w:r>
      <w:r>
        <w:rPr>
          <w:rFonts w:eastAsia="仿宋_GB2312;仿宋"/>
          <w:sz w:val="28"/>
          <w:szCs w:val="28"/>
        </w:rPr>
        <w:t>本预案由</w:t>
      </w:r>
      <w:r>
        <w:rPr>
          <w:rFonts w:eastAsia="仿宋_GB2312;仿宋"/>
          <w:sz w:val="28"/>
          <w:szCs w:val="28"/>
        </w:rPr>
        <w:t>本行</w:t>
      </w:r>
      <w:r>
        <w:rPr>
          <w:rFonts w:eastAsia="仿宋_GB2312;仿宋"/>
          <w:sz w:val="28"/>
          <w:szCs w:val="28"/>
        </w:rPr>
        <w:t>计划财务部负责解释和修订。</w:t>
      </w:r>
    </w:p>
    <w:p>
      <w:pPr>
        <w:pStyle w:val="Normal"/>
        <w:spacing w:lineRule="auto" w:line="360"/>
        <w:ind w:firstLine="560" w:right="0"/>
        <w:jc w:val="both"/>
        <w:rPr/>
      </w:pPr>
      <w:r>
        <w:rPr>
          <w:rFonts w:eastAsia="仿宋_GB2312;仿宋"/>
          <w:sz w:val="28"/>
          <w:szCs w:val="28"/>
        </w:rPr>
        <w:t>第十九条</w:t>
      </w:r>
      <w:r>
        <w:rPr>
          <w:rFonts w:eastAsia="Times New Roman"/>
          <w:sz w:val="28"/>
          <w:szCs w:val="28"/>
        </w:rPr>
        <w:t xml:space="preserve"> </w:t>
      </w:r>
      <w:r>
        <w:rPr>
          <w:rFonts w:eastAsia="仿宋_GB2312;仿宋"/>
          <w:sz w:val="28"/>
          <w:szCs w:val="28"/>
        </w:rPr>
        <w:t>本预案</w:t>
      </w:r>
      <w:r>
        <w:rPr>
          <w:rFonts w:eastAsia="仿宋_GB2312;仿宋"/>
          <w:sz w:val="28"/>
          <w:szCs w:val="28"/>
        </w:rPr>
        <w:t>自发文之日起施行</w:t>
      </w: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r>
    </w:p>
    <w:sectPr>
      <w:type w:val="nextPage"/>
      <w:pgSz w:w="11906" w:h="16838"/>
      <w:pgMar w:left="1580" w:right="1420" w:gutter="0" w:header="0" w:top="1440" w:footer="0" w:bottom="9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宋体">
    <w:altName w:val="SimSun"/>
    <w:charset w:val="86"/>
    <w:family w:val="auto"/>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taiwaneseCountingThousand"/>
      <w:suff w:val="space"/>
      <w:lvlText w:val="第%1条"/>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宋体;SimSun" w:cs="Times New Roman"/>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Style14">
    <w:name w:val="批注引用"/>
    <w:qFormat/>
    <w:rPr>
      <w:sz w:val="21"/>
      <w:szCs w:val="21"/>
    </w:rPr>
  </w:style>
  <w:style w:type="character" w:styleId="Char1">
    <w:name w:val="批注主题 Char"/>
    <w:qFormat/>
    <w:rPr>
      <w:b/>
      <w:bCs/>
    </w:rPr>
  </w:style>
  <w:style w:type="character" w:styleId="Char2">
    <w:name w:val="批注文字 Char"/>
    <w:basedOn w:val="Style13"/>
    <w:qFormat/>
    <w:rPr/>
  </w:style>
  <w:style w:type="character" w:styleId="Char3">
    <w:name w:val="页脚 Char"/>
    <w:qFormat/>
    <w:rPr>
      <w:sz w:val="18"/>
      <w:szCs w:val="18"/>
    </w:rPr>
  </w:style>
  <w:style w:type="character" w:styleId="Char4">
    <w:name w:val="批注框文本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框文本"/>
    <w:basedOn w:val="Normal"/>
    <w:qFormat/>
    <w:pPr/>
    <w:rPr>
      <w:sz w:val="18"/>
      <w:szCs w:val="18"/>
    </w:rPr>
  </w:style>
  <w:style w:type="paragraph" w:styleId="Style16">
    <w:name w:val="普通(网站)"/>
    <w:basedOn w:val="Normal"/>
    <w:qFormat/>
    <w:pPr>
      <w:spacing w:before="280" w:after="280"/>
    </w:pPr>
    <w:rPr>
      <w:rFonts w:ascii="宋体;SimSun" w:hAnsi="宋体;SimSun" w:cs="宋体;SimSun"/>
      <w:sz w:val="24"/>
      <w:szCs w:val="24"/>
    </w:rPr>
  </w:style>
  <w:style w:type="paragraph" w:styleId="Style17">
    <w:name w:val="批注文字"/>
    <w:basedOn w:val="Normal"/>
    <w:qFormat/>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Style18">
    <w:name w:val="批注主题"/>
    <w:basedOn w:val="Style17"/>
    <w:next w:val="Style17"/>
    <w:qFormat/>
    <w:pPr/>
    <w:rPr>
      <w:b/>
      <w:bCs/>
    </w:rPr>
  </w:style>
  <w:style w:type="paragraph" w:styleId="Style19">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2017-03-24T15:03:00Z</dcterms:created>
  <dc:creator>Administrator</dc:creator>
  <dc:description/>
  <cp:keywords/>
  <dc:language>zh-CN</dc:language>
  <cp:lastModifiedBy>ding shu</cp:lastModifiedBy>
  <dcterms:modified xsi:type="dcterms:W3CDTF">2020-01-08T20:18:00Z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