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600"/>
        <w:rPr>
          <w:rFonts w:eastAsia="仿宋_GB2312;仿宋"/>
          <w:bCs/>
          <w:sz w:val="28"/>
          <w:szCs w:val="28"/>
        </w:rPr>
      </w:pPr>
      <w:r>
        <w:rPr>
          <w:rFonts w:eastAsia="仿宋_GB2312;仿宋"/>
          <w:bCs/>
          <w:sz w:val="28"/>
          <w:szCs w:val="28"/>
        </w:rPr>
      </w:r>
      <w:bookmarkStart w:id="0" w:name="zhengwen"/>
      <w:bookmarkStart w:id="1" w:name="zhengwen"/>
      <w:bookmarkEnd w:id="1"/>
    </w:p>
    <w:p>
      <w:pPr>
        <w:pStyle w:val="Style18"/>
        <w:ind w:hanging="0" w:right="0"/>
        <w:rPr/>
      </w:pPr>
      <w:r>
        <w:rPr>
          <w:rFonts w:ascii="Times New Roman" w:hAnsi="Times New Roman" w:cs="Times New Roman"/>
        </w:rPr>
        <w:t>财务核算管理办法</w:t>
      </w:r>
    </w:p>
    <w:p>
      <w:pPr>
        <w:pStyle w:val="ListParagraph"/>
        <w:spacing w:lineRule="exact" w:line="500" w:before="0" w:after="156"/>
        <w:ind w:hanging="0" w:right="0"/>
        <w:rPr>
          <w:rFonts w:ascii="Times New Roman" w:hAnsi="Times New Roman" w:eastAsia="仿宋_GB2312;仿宋" w:cs="Times New Roman"/>
          <w:sz w:val="28"/>
          <w:szCs w:val="28"/>
        </w:rPr>
      </w:pPr>
      <w:r>
        <w:rPr>
          <w:rFonts w:eastAsia="仿宋_GB2312;仿宋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156"/>
        <w:ind w:hanging="0" w:righ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eastAsia="仿宋_GB2312;仿宋"/>
          <w:b/>
          <w:sz w:val="28"/>
          <w:szCs w:val="28"/>
        </w:rPr>
        <w:t>第一章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 w:eastAsia="仿宋_GB2312;仿宋"/>
          <w:b/>
          <w:sz w:val="28"/>
          <w:szCs w:val="28"/>
        </w:rPr>
        <w:t>总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 w:eastAsia="仿宋_GB2312;仿宋"/>
          <w:b/>
          <w:sz w:val="28"/>
          <w:szCs w:val="28"/>
        </w:rPr>
        <w:t>则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第一条　为了加强财务管理，提高经营效益，进一步明确“统一法人，授权经营，分级核算，单独考核”的原则，充分调动本行员工增收节支的积极性，根据中华人民共和国《企业财务通则》、《金融企业财务规则》和国家税务总局、中国人民银行印发的《农村信用合作社财务管理实施办法》等有关法律法规制定本办法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第二条　本行实行“独立核算，自主经营，自负盈亏，自担风险”的经营原则。其财务管理的主要任务是：以经济效益为中心，提高盈利能力；规范财务行为，强化经营约束；健全内部激励机制，正确处理分配关系；反映经营状况，监督各项财务活动，以维护股东和债权人的合法权益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第三条　本行的计划财务部履行财务管理职责，对其所属各分支机构的财务工作负有管理、指导、检查、监督之责，并须做好各项财务收支的计划、控制、考核和分析工作</w:t>
      </w:r>
      <w:r>
        <w:rPr>
          <w:rStyle w:val="Style14"/>
        </w:rPr>
        <w:t>，</w:t>
      </w:r>
      <w:r>
        <w:rPr>
          <w:rFonts w:eastAsia="仿宋_GB2312;仿宋"/>
          <w:sz w:val="28"/>
          <w:szCs w:val="28"/>
        </w:rPr>
        <w:t>综合运用规划、预测、计划、预算、控制、监督、考核、评价和分析等方法，筹集资金，营运资产，控制成本，分配收益，配置资源，反映经营状况，防范和化解财务风险，实现持续经营和价值最大化。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（一）建立健全财务风险控制体系，明确财务风险管理的权限、程序、应急方案和具体措施，以及财务风险形成当事人应承担的责任，防范和化解财务风险。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（二）筹集资本金，应当符合国家有关资本金管理的规定，根据发展战略和经营规划拟定筹资方案，履行规定的程序。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（三）统一管理资金账户，明确资金调度的条件、权限和程序。调度资金应当按照内部财务管理制度，依据有效合同和合法凭证办理手续，不得私存私放资金。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（四）结合自身特点，按照内部财务管理制度，强化成本费用预算约束，实行成本费用全员管理和全过程控制。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（五）年度实现净利润（减弥补亏损），应当按照提取法定盈余公积金、提取一般（风险）准备金、向投资者分配利润的顺序进行分配。法律、行政法规另有规定的从其规定。</w:t>
      </w:r>
    </w:p>
    <w:p>
      <w:pPr>
        <w:pStyle w:val="Normal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</w:p>
    <w:p>
      <w:pPr>
        <w:pStyle w:val="ListParagraph"/>
        <w:spacing w:lineRule="auto" w:line="360" w:before="0" w:after="156"/>
        <w:ind w:hanging="0" w:righ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eastAsia="仿宋_GB2312;仿宋"/>
          <w:b/>
          <w:sz w:val="28"/>
          <w:szCs w:val="28"/>
        </w:rPr>
        <w:t>第二章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 w:eastAsia="仿宋_GB2312;仿宋"/>
          <w:b/>
          <w:sz w:val="28"/>
          <w:szCs w:val="28"/>
        </w:rPr>
        <w:t>财务核算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第四条　核算基本模式。本行实行“一级法人，二级核算，集中支付，分别考核”的核算方式。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（一）所有者权益归总行统一核算管理，固定资产仍为各支行管理、使用、保管，资产折旧由总行统一计提，在受益单位成本中列支。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（二）税费由总行统一缴纳。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（三）各支行对其资产经营的当期收入、成本、费用等财务遵循权责发生制原则，如实反映、记载，年终将损益统一划转总行，由总行统一进行会计决算、编制年报。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第五条　核算方法和要求。业务收支由各支行在授权范围内直接办理。各支行在业务经营过程中发生的收入，应收尽收；发生与经营有关的各项利息支出、金融机构往来支出、手续费支出、业务及管理费用以及其它营业支出等，按规定计入成本。对业务及管理费用要实行量入为出，以收定支，严格管理，限额使用。做到准确核算，及时反映，手续齐全，按时结报。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各支行、总行各部（室）不得设账外账或私设小金库，不得自行规定有关支出标准和其它财务事项。</w:t>
      </w:r>
    </w:p>
    <w:p>
      <w:pPr>
        <w:pStyle w:val="ListParagraph"/>
        <w:spacing w:lineRule="auto" w:line="360" w:before="0" w:after="156"/>
        <w:ind w:hanging="0" w:right="0"/>
        <w:rPr>
          <w:rFonts w:ascii="Times New Roman" w:hAnsi="Times New Roman" w:eastAsia="仿宋_GB2312;仿宋" w:cs="Times New Roman"/>
          <w:sz w:val="28"/>
          <w:szCs w:val="28"/>
        </w:rPr>
      </w:pPr>
      <w:r>
        <w:rPr>
          <w:rFonts w:eastAsia="仿宋_GB2312;仿宋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156"/>
        <w:ind w:hanging="0" w:righ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eastAsia="仿宋_GB2312;仿宋"/>
          <w:b/>
          <w:sz w:val="28"/>
          <w:szCs w:val="28"/>
        </w:rPr>
        <w:t>第三章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eastAsia="仿宋_GB2312;仿宋"/>
          <w:b/>
          <w:sz w:val="28"/>
          <w:szCs w:val="28"/>
        </w:rPr>
        <w:t>财务管理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第六条　总行以省联社财务管理系统为平台，对各支行（部）坚持“以收定支、限额使用、上移核算、按期结报”的原则，规范财务费用管理；对总行各部（室）财务费用实行归口管理，按权限审批。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第七条　对支行的财务费用管理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（一）以收定支、核定限额使用的科目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业务及管理费用科目中的业务宣传费、业务招待费、印刷费、电子设备运转费、安全防卫费、钞币运送费、邮电费、公杂费、差旅费和水电费等十个项目由总行对各支行核定全年费用限额，各支行在限额范围内按季度控制使用。</w:t>
      </w:r>
    </w:p>
    <w:p>
      <w:pPr>
        <w:pStyle w:val="Normal"/>
        <w:spacing w:lineRule="auto" w:line="360"/>
        <w:ind w:firstLine="537" w:right="0"/>
        <w:rPr>
          <w:rFonts w:eastAsia="仿宋_GB2312;仿宋"/>
        </w:rPr>
      </w:pPr>
      <w:r>
        <w:rPr>
          <w:rFonts w:eastAsia="仿宋_GB2312;仿宋"/>
          <w:sz w:val="28"/>
          <w:szCs w:val="28"/>
        </w:rPr>
        <w:t>（二）除上款限额使用的费用项目外，其余费用各支行不得使用和结报。</w:t>
      </w: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第八条　对本部财务费用实行归口管理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一）职工工资、基本养老保险金、基本医疗保险金、工伤保险金、生育保险金、失业保险金、补充养老保险金由人力资源部根据上级有关文件精神，按规定标准和比率计算到人，个人应承担部分由个人缴纳，由计划财务部组织实施。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（二）应缴税金、职工福利费、职工教育经费、工会经费、住房公积金、劳动保护费、取暖及降温费、差旅费由计划财务部按规定使用，个人应承担的部分一律由个人承担。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（三）审计费、广告费、业务宣传费、修理费、保险费、交通工具耗用费（车辆修理）、印刷费统一由总行行政办公室归口管理，相关部门配合，按批准权限审批，按规定程序实施。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（四）业务招待费、会议费、水电费、邮电费、公杂费由行政办公室管理。总行各部（室）因工作需要进行业务招待，必须提前填报审批单，报分管行长批准后交由总行行政办公室负责安排。严格控制陪客人数，</w:t>
      </w:r>
      <w:r>
        <w:rPr>
          <w:rFonts w:eastAsia="仿宋_GB2312;仿宋"/>
          <w:sz w:val="28"/>
          <w:szCs w:val="28"/>
        </w:rPr>
        <w:t>作</w:t>
      </w:r>
      <w:r>
        <w:rPr>
          <w:rFonts w:eastAsia="仿宋_GB2312;仿宋"/>
          <w:sz w:val="28"/>
          <w:szCs w:val="28"/>
        </w:rPr>
        <w:t>陪人数最多不能超过宴请人数，无关人员禁止陪餐。水电费、邮电费、招待用烟酒，行政办公室要建好领、用、存台账，专人负责。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（五）手续费支出、营业外支出、其他营业支出由计划财务部按制度规定报经批准列支。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第九条　严格控制支行固定资产购建，实行计划管理和比例管理。确因业务发展需要，新建和翻建营业楼的，由总行行政办公室报经批准后组织实施。购建固定资产的条件：（</w:t>
      </w:r>
      <w:r>
        <w:rPr>
          <w:rFonts w:eastAsia="仿宋_GB2312;仿宋"/>
          <w:sz w:val="28"/>
          <w:szCs w:val="28"/>
        </w:rPr>
        <w:t>1</w:t>
      </w:r>
      <w:r>
        <w:rPr>
          <w:rFonts w:eastAsia="仿宋_GB2312;仿宋"/>
          <w:sz w:val="28"/>
          <w:szCs w:val="28"/>
        </w:rPr>
        <w:t>）营业用房狭小或地理位置偏僻，影响正常业务开展；（</w:t>
      </w:r>
      <w:r>
        <w:rPr>
          <w:rFonts w:eastAsia="仿宋_GB2312;仿宋"/>
          <w:sz w:val="28"/>
          <w:szCs w:val="28"/>
        </w:rPr>
        <w:t>2</w:t>
      </w:r>
      <w:r>
        <w:rPr>
          <w:rFonts w:eastAsia="仿宋_GB2312;仿宋"/>
          <w:sz w:val="28"/>
          <w:szCs w:val="28"/>
        </w:rPr>
        <w:t>）近三年经营盈余，没有亏损；（</w:t>
      </w:r>
      <w:r>
        <w:rPr>
          <w:rFonts w:eastAsia="仿宋_GB2312;仿宋"/>
          <w:sz w:val="28"/>
          <w:szCs w:val="28"/>
        </w:rPr>
        <w:t>3</w:t>
      </w:r>
      <w:r>
        <w:rPr>
          <w:rFonts w:eastAsia="仿宋_GB2312;仿宋"/>
          <w:sz w:val="28"/>
          <w:szCs w:val="28"/>
        </w:rPr>
        <w:t>）危房拆除、修建，必须有危房翻建报告和有权部门联合鉴定的《危险房屋质量鉴定书》。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第十条　总行固定资产、低值易耗品由计划财务部、总行行政办公室根据本行相关规定共同管理执行。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本部大宗固定资产、业务宣传用品、印刷品、职工服装的购置、车辆的修理等，价值在</w:t>
      </w:r>
      <w:r>
        <w:rPr>
          <w:rFonts w:eastAsia="仿宋_GB2312;仿宋"/>
          <w:sz w:val="28"/>
          <w:szCs w:val="28"/>
        </w:rPr>
        <w:t>2</w:t>
      </w:r>
      <w:r>
        <w:rPr>
          <w:rFonts w:eastAsia="仿宋_GB2312;仿宋"/>
          <w:sz w:val="28"/>
          <w:szCs w:val="28"/>
        </w:rPr>
        <w:t>万元以上的支出，必须通过招标方式进行，招标小组应有总行领导、职能部门负责人，以增加透明度。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计划财务部及时做好固定资产及低值易耗品的建账和核算工作。总行行政办公室在建好固定资产及低值易耗品账、簿、卡的同时，要逐一落实保管责任人，明确职责，正常做好管理、检查、维护保养工作，确保资产不流失。</w:t>
      </w:r>
    </w:p>
    <w:p>
      <w:pPr>
        <w:pStyle w:val="ListParagraph"/>
        <w:spacing w:lineRule="auto" w:line="360" w:before="0" w:after="156"/>
        <w:ind w:hanging="0" w:right="0"/>
        <w:rPr>
          <w:rFonts w:ascii="Times New Roman" w:hAnsi="Times New Roman" w:eastAsia="仿宋_GB2312;仿宋" w:cs="Times New Roman"/>
          <w:sz w:val="28"/>
          <w:szCs w:val="28"/>
        </w:rPr>
      </w:pPr>
      <w:r>
        <w:rPr>
          <w:rFonts w:eastAsia="仿宋_GB2312;仿宋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156"/>
        <w:ind w:hanging="0" w:righ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eastAsia="仿宋_GB2312;仿宋"/>
          <w:b/>
          <w:sz w:val="28"/>
          <w:szCs w:val="28"/>
        </w:rPr>
        <w:t>第四章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 w:eastAsia="仿宋_GB2312;仿宋"/>
          <w:b/>
          <w:sz w:val="28"/>
          <w:szCs w:val="28"/>
        </w:rPr>
        <w:t>审批权限</w:t>
      </w:r>
    </w:p>
    <w:p>
      <w:pPr>
        <w:pStyle w:val="Normal"/>
        <w:spacing w:lineRule="auto" w:line="360"/>
        <w:ind w:firstLine="537" w:right="0"/>
        <w:jc w:val="left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第十一条　支行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（一）支行限额使用的十项费用原则上实行由支行行长“一支笔”审批制度，在总行核定限额内节约的费用，按节约金额的</w:t>
      </w:r>
      <w:r>
        <w:rPr>
          <w:rFonts w:eastAsia="仿宋_GB2312;仿宋"/>
          <w:sz w:val="28"/>
          <w:szCs w:val="28"/>
        </w:rPr>
        <w:t>120%</w:t>
      </w:r>
      <w:r>
        <w:rPr>
          <w:rFonts w:eastAsia="仿宋_GB2312;仿宋"/>
          <w:sz w:val="28"/>
          <w:szCs w:val="28"/>
        </w:rPr>
        <w:t>增加次年的费用限额；费用限额超支的，从经营目标考核分配款中等额扣减。</w:t>
      </w:r>
    </w:p>
    <w:p>
      <w:pPr>
        <w:pStyle w:val="Normal"/>
        <w:spacing w:lineRule="auto" w:line="360"/>
        <w:ind w:firstLine="537" w:right="0"/>
        <w:jc w:val="left"/>
        <w:rPr/>
      </w:pPr>
      <w:r>
        <w:rPr>
          <w:rFonts w:eastAsia="仿宋_GB2312;仿宋"/>
          <w:sz w:val="28"/>
          <w:szCs w:val="28"/>
        </w:rPr>
        <w:t>（二）支行需报批的业务费用，由支行事前向总行行政办公室等相关职能部门提出申请，各相关职能部门进行审核，统一报计划财务部按权限审批，其中，</w:t>
      </w:r>
      <w:r>
        <w:rPr>
          <w:rFonts w:eastAsia="仿宋_GB2312;仿宋"/>
          <w:sz w:val="28"/>
          <w:szCs w:val="28"/>
        </w:rPr>
        <w:t>2000</w:t>
      </w:r>
      <w:r>
        <w:rPr>
          <w:rFonts w:eastAsia="仿宋_GB2312;仿宋"/>
          <w:sz w:val="28"/>
          <w:szCs w:val="28"/>
        </w:rPr>
        <w:t>元以内（含）的由计划财务部审批，</w:t>
      </w:r>
      <w:r>
        <w:rPr>
          <w:rFonts w:eastAsia="仿宋_GB2312;仿宋"/>
          <w:sz w:val="28"/>
          <w:szCs w:val="28"/>
        </w:rPr>
        <w:t>2000</w:t>
      </w:r>
      <w:r>
        <w:rPr>
          <w:rFonts w:eastAsia="仿宋_GB2312;仿宋"/>
          <w:sz w:val="28"/>
          <w:szCs w:val="28"/>
        </w:rPr>
        <w:t>元至</w:t>
      </w:r>
      <w:r>
        <w:rPr>
          <w:rFonts w:eastAsia="仿宋_GB2312;仿宋"/>
          <w:sz w:val="28"/>
          <w:szCs w:val="28"/>
        </w:rPr>
        <w:t>20000</w:t>
      </w:r>
      <w:r>
        <w:rPr>
          <w:rFonts w:eastAsia="仿宋_GB2312;仿宋"/>
          <w:sz w:val="28"/>
          <w:szCs w:val="28"/>
        </w:rPr>
        <w:t>元以内（含）由分管财务的行长审批，</w:t>
      </w:r>
      <w:r>
        <w:rPr>
          <w:rFonts w:eastAsia="仿宋_GB2312;仿宋"/>
          <w:sz w:val="28"/>
          <w:szCs w:val="28"/>
        </w:rPr>
        <w:t>2</w:t>
      </w:r>
      <w:r>
        <w:rPr>
          <w:rFonts w:eastAsia="仿宋_GB2312;仿宋"/>
          <w:sz w:val="28"/>
          <w:szCs w:val="28"/>
        </w:rPr>
        <w:t>万元以上由财务管理审查委员会审批。</w:t>
      </w:r>
    </w:p>
    <w:p>
      <w:pPr>
        <w:pStyle w:val="Normal"/>
        <w:spacing w:lineRule="auto" w:line="360"/>
        <w:ind w:firstLine="537" w:right="0"/>
        <w:jc w:val="left"/>
        <w:rPr/>
      </w:pPr>
      <w:r>
        <w:rPr>
          <w:rFonts w:eastAsia="仿宋_GB2312;仿宋"/>
          <w:sz w:val="28"/>
          <w:szCs w:val="28"/>
        </w:rPr>
        <w:t>（三）支行的代垫款实行分级审批，</w:t>
      </w:r>
      <w:r>
        <w:rPr>
          <w:rFonts w:eastAsia="仿宋_GB2312;仿宋"/>
          <w:sz w:val="28"/>
          <w:szCs w:val="28"/>
        </w:rPr>
        <w:t>50000</w:t>
      </w:r>
      <w:r>
        <w:rPr>
          <w:rFonts w:eastAsia="仿宋_GB2312;仿宋"/>
          <w:sz w:val="28"/>
          <w:szCs w:val="28"/>
        </w:rPr>
        <w:t>元以内（含）由分管行政办公室的行长审批，</w:t>
      </w:r>
      <w:r>
        <w:rPr>
          <w:rFonts w:eastAsia="仿宋_GB2312;仿宋"/>
          <w:sz w:val="28"/>
          <w:szCs w:val="28"/>
        </w:rPr>
        <w:t>2</w:t>
      </w:r>
      <w:r>
        <w:rPr>
          <w:rFonts w:eastAsia="仿宋_GB2312;仿宋"/>
          <w:sz w:val="28"/>
          <w:szCs w:val="28"/>
        </w:rPr>
        <w:t>万元以上由财务管理审查委员会审批。</w:t>
      </w:r>
    </w:p>
    <w:p>
      <w:pPr>
        <w:pStyle w:val="Normal"/>
        <w:spacing w:lineRule="auto" w:line="360"/>
        <w:ind w:firstLine="537" w:right="0"/>
        <w:jc w:val="left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第十二条　总行</w:t>
      </w:r>
    </w:p>
    <w:p>
      <w:pPr>
        <w:pStyle w:val="Normal"/>
        <w:spacing w:lineRule="auto" w:line="360"/>
        <w:ind w:firstLine="537" w:right="0"/>
        <w:jc w:val="left"/>
        <w:rPr/>
      </w:pPr>
      <w:r>
        <w:rPr>
          <w:rFonts w:eastAsia="仿宋_GB2312;仿宋"/>
          <w:sz w:val="28"/>
          <w:szCs w:val="28"/>
        </w:rPr>
        <w:t>（一）总行的业务费用实行分级审批，</w:t>
      </w:r>
      <w:r>
        <w:rPr>
          <w:rFonts w:eastAsia="仿宋_GB2312;仿宋"/>
          <w:sz w:val="28"/>
          <w:szCs w:val="28"/>
        </w:rPr>
        <w:t>1000</w:t>
      </w:r>
      <w:r>
        <w:rPr>
          <w:rFonts w:eastAsia="仿宋_GB2312;仿宋"/>
          <w:sz w:val="28"/>
          <w:szCs w:val="28"/>
        </w:rPr>
        <w:t>元以内（含）由计划财务部审批，</w:t>
      </w:r>
      <w:r>
        <w:rPr>
          <w:rFonts w:eastAsia="仿宋_GB2312;仿宋"/>
          <w:sz w:val="28"/>
          <w:szCs w:val="28"/>
        </w:rPr>
        <w:t>1000</w:t>
      </w:r>
      <w:r>
        <w:rPr>
          <w:rFonts w:eastAsia="仿宋_GB2312;仿宋"/>
          <w:sz w:val="28"/>
          <w:szCs w:val="28"/>
        </w:rPr>
        <w:t>元至</w:t>
      </w:r>
      <w:r>
        <w:rPr>
          <w:rFonts w:eastAsia="仿宋_GB2312;仿宋"/>
          <w:sz w:val="28"/>
          <w:szCs w:val="28"/>
        </w:rPr>
        <w:t>20000</w:t>
      </w:r>
      <w:r>
        <w:rPr>
          <w:rFonts w:eastAsia="仿宋_GB2312;仿宋"/>
          <w:sz w:val="28"/>
          <w:szCs w:val="28"/>
        </w:rPr>
        <w:t>元（含）由分管财务的行长审批，</w:t>
      </w:r>
      <w:r>
        <w:rPr>
          <w:rFonts w:eastAsia="仿宋_GB2312;仿宋"/>
          <w:sz w:val="28"/>
          <w:szCs w:val="28"/>
        </w:rPr>
        <w:t>2</w:t>
      </w:r>
      <w:r>
        <w:rPr>
          <w:rFonts w:eastAsia="仿宋_GB2312;仿宋"/>
          <w:sz w:val="28"/>
          <w:szCs w:val="28"/>
        </w:rPr>
        <w:t>万元以上由财务管理审查委员会审批。</w:t>
      </w:r>
    </w:p>
    <w:p>
      <w:pPr>
        <w:pStyle w:val="Normal"/>
        <w:spacing w:lineRule="auto" w:line="360"/>
        <w:ind w:firstLine="537" w:right="0"/>
        <w:jc w:val="left"/>
        <w:rPr/>
      </w:pPr>
      <w:r>
        <w:rPr>
          <w:rFonts w:eastAsia="仿宋_GB2312;仿宋"/>
          <w:sz w:val="28"/>
          <w:szCs w:val="28"/>
        </w:rPr>
        <w:t>（二）总行的代垫款实行分级审批，</w:t>
      </w:r>
      <w:r>
        <w:rPr>
          <w:rFonts w:eastAsia="仿宋_GB2312;仿宋"/>
          <w:sz w:val="28"/>
          <w:szCs w:val="28"/>
        </w:rPr>
        <w:t>50000</w:t>
      </w:r>
      <w:r>
        <w:rPr>
          <w:rFonts w:eastAsia="仿宋_GB2312;仿宋"/>
          <w:sz w:val="28"/>
          <w:szCs w:val="28"/>
        </w:rPr>
        <w:t>元以内（含）由分管行政办公室的行长审批，</w:t>
      </w:r>
      <w:r>
        <w:rPr>
          <w:rFonts w:eastAsia="仿宋_GB2312;仿宋"/>
          <w:sz w:val="28"/>
          <w:szCs w:val="28"/>
        </w:rPr>
        <w:t>2</w:t>
      </w:r>
      <w:r>
        <w:rPr>
          <w:rFonts w:eastAsia="仿宋_GB2312;仿宋"/>
          <w:sz w:val="28"/>
          <w:szCs w:val="28"/>
        </w:rPr>
        <w:t>万元以上由财务管理审查委员会审批。</w:t>
      </w:r>
    </w:p>
    <w:p>
      <w:pPr>
        <w:pStyle w:val="Normal"/>
        <w:spacing w:lineRule="auto" w:line="360"/>
        <w:ind w:firstLine="537" w:right="0"/>
        <w:jc w:val="left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</w:p>
    <w:p>
      <w:pPr>
        <w:pStyle w:val="ListParagraph"/>
        <w:spacing w:lineRule="auto" w:line="360" w:before="0" w:after="156"/>
        <w:ind w:hanging="0" w:righ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eastAsia="仿宋_GB2312;仿宋"/>
          <w:b/>
          <w:sz w:val="28"/>
          <w:szCs w:val="28"/>
        </w:rPr>
        <w:t>第五章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 w:eastAsia="仿宋_GB2312;仿宋"/>
          <w:b/>
          <w:sz w:val="28"/>
          <w:szCs w:val="28"/>
        </w:rPr>
        <w:t>检查监督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第十三条</w:t>
      </w:r>
      <w:r>
        <w:rPr>
          <w:rFonts w:eastAsia="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本行的财务工作实行行长负责制，同时接受广大职工的民主管理和监督，认真执行</w:t>
      </w:r>
      <w:r>
        <w:rPr>
          <w:rFonts w:eastAsia="仿宋_GB2312;仿宋"/>
          <w:sz w:val="28"/>
          <w:szCs w:val="28"/>
        </w:rPr>
        <w:t>本行</w:t>
      </w:r>
      <w:r>
        <w:rPr>
          <w:rFonts w:eastAsia="仿宋_GB2312;仿宋"/>
          <w:sz w:val="28"/>
          <w:szCs w:val="28"/>
        </w:rPr>
        <w:t>转授权管理制度，并定期向董事会、监事会报告财务状况。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第十四条　总行建立正常的检查、监督网络和管理体制。每笔费用均需经办人、审核人、审批人签字，大额费用还须增加证明人签字，以示负责。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第十五条　计划财务部作为财务管理的执行部门，必须认真做好事中监督，把好财务制度的执行关，对不符规定的开支坚决予以剔除。</w:t>
      </w:r>
    </w:p>
    <w:p>
      <w:pPr>
        <w:pStyle w:val="Normal"/>
        <w:spacing w:lineRule="auto" w:line="360"/>
        <w:ind w:firstLine="537" w:right="0"/>
        <w:jc w:val="left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第十六条　审计部要加强财务费用管理的监督、稽查，采取定期稽核、抽查和年终审计等形式，加大监督管理力度，对不符规定的开支及时向行长室报告或直接向董事会、监事会报告，使本行的财务管理工作在有效的内控管理机制下健康运行。</w:t>
      </w:r>
    </w:p>
    <w:p>
      <w:pPr>
        <w:pStyle w:val="Normal"/>
        <w:spacing w:lineRule="auto" w:line="360"/>
        <w:ind w:firstLine="537" w:right="0"/>
        <w:jc w:val="left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</w:p>
    <w:p>
      <w:pPr>
        <w:pStyle w:val="ListParagraph"/>
        <w:spacing w:lineRule="auto" w:line="360" w:before="0" w:after="156"/>
        <w:ind w:hanging="0" w:righ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eastAsia="仿宋_GB2312;仿宋"/>
          <w:b/>
          <w:sz w:val="28"/>
          <w:szCs w:val="28"/>
        </w:rPr>
        <w:t>第六章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 w:eastAsia="仿宋_GB2312;仿宋"/>
          <w:b/>
          <w:sz w:val="28"/>
          <w:szCs w:val="28"/>
        </w:rPr>
        <w:t>附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 w:eastAsia="仿宋_GB2312;仿宋"/>
          <w:b/>
          <w:sz w:val="28"/>
          <w:szCs w:val="28"/>
        </w:rPr>
        <w:t>则</w:t>
      </w:r>
    </w:p>
    <w:p>
      <w:pPr>
        <w:pStyle w:val="Normal"/>
        <w:autoSpaceDE w:val="false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第十七条　</w:t>
      </w:r>
      <w:r>
        <w:rPr>
          <w:rFonts w:eastAsia="仿宋_GB2312;仿宋"/>
          <w:sz w:val="28"/>
          <w:szCs w:val="28"/>
          <w:lang w:val="zh-CN"/>
        </w:rPr>
        <w:t>本办法由</w:t>
      </w:r>
      <w:r>
        <w:rPr>
          <w:rFonts w:eastAsia="仿宋_GB2312;仿宋"/>
          <w:sz w:val="28"/>
          <w:szCs w:val="28"/>
          <w:lang w:val="zh-CN"/>
        </w:rPr>
        <w:t>本行</w:t>
      </w:r>
      <w:r>
        <w:rPr>
          <w:rFonts w:eastAsia="仿宋_GB2312;仿宋"/>
          <w:sz w:val="28"/>
          <w:szCs w:val="28"/>
          <w:lang w:val="zh-CN"/>
        </w:rPr>
        <w:t>计划财务部负责解释和修订。</w:t>
      </w:r>
    </w:p>
    <w:p>
      <w:pPr>
        <w:pStyle w:val="Normal"/>
        <w:spacing w:lineRule="auto" w:line="360"/>
        <w:ind w:firstLine="537" w:right="0"/>
        <w:jc w:val="left"/>
        <w:rPr/>
      </w:pPr>
      <w:r>
        <w:rPr>
          <w:rFonts w:eastAsia="仿宋_GB2312;仿宋"/>
          <w:sz w:val="28"/>
          <w:szCs w:val="28"/>
        </w:rPr>
        <w:t>第十八条　本办法</w:t>
      </w:r>
      <w:r>
        <w:rPr>
          <w:rFonts w:eastAsia="仿宋_GB2312;仿宋"/>
          <w:sz w:val="28"/>
          <w:szCs w:val="28"/>
        </w:rPr>
        <w:t>自发文之日起施行</w:t>
      </w:r>
      <w:r>
        <w:rPr>
          <w:rFonts w:eastAsia="仿宋_GB2312;仿宋"/>
          <w:sz w:val="28"/>
          <w:szCs w:val="28"/>
        </w:rPr>
        <w:t>。</w:t>
      </w:r>
    </w:p>
    <w:p>
      <w:pPr>
        <w:pStyle w:val="Normal"/>
        <w:spacing w:lineRule="exact" w:line="62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  <w:bookmarkStart w:id="2" w:name="zhengwen"/>
      <w:bookmarkStart w:id="3" w:name="zhengwen"/>
      <w:bookmarkEnd w:id="3"/>
    </w:p>
    <w:p>
      <w:pPr>
        <w:pStyle w:val="Normal"/>
        <w:spacing w:lineRule="exact" w:line="62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</w:p>
    <w:p>
      <w:pPr>
        <w:pStyle w:val="Normal"/>
        <w:spacing w:lineRule="exact" w:line="62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</w:p>
    <w:sectPr>
      <w:type w:val="nextPage"/>
      <w:pgSz w:w="11906" w:h="16838"/>
      <w:pgMar w:left="1418" w:right="1418" w:gutter="0" w:header="0" w:top="1814" w:footer="0" w:bottom="1814"/>
      <w:pgNumType w:fmt="decimal"/>
      <w:formProt w:val="false"/>
      <w:textDirection w:val="lrTb"/>
      <w:docGrid w:type="linesAndChars" w:linePitch="312" w:charSpace="42949648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仿宋_GB2312">
    <w:altName w:val="仿宋"/>
    <w:charset w:val="86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0"/>
  <w:defaultTabStop w:val="420"/>
  <w:autoHyphenation w:val="true"/>
  <w:compat>
    <w:noLeading/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Calibri Light" w:hAnsi="Calibri Light" w:eastAsia="宋体;SimSun" w:cs="Times New Roman"/>
      <w:b/>
      <w:bCs/>
      <w:sz w:val="32"/>
      <w:szCs w:val="32"/>
    </w:rPr>
  </w:style>
  <w:style w:type="character" w:styleId="WW8Num1z0">
    <w:name w:val="WW8Num1z0"/>
    <w:qFormat/>
    <w:rPr/>
  </w:style>
  <w:style w:type="character" w:styleId="Style13">
    <w:name w:val="默认段落字体"/>
    <w:qFormat/>
    <w:rPr/>
  </w:style>
  <w:style w:type="character" w:styleId="PageNumber">
    <w:name w:val="Page Number"/>
    <w:basedOn w:val="Style13"/>
    <w:rPr/>
  </w:style>
  <w:style w:type="character" w:styleId="Style14">
    <w:name w:val="批注引用"/>
    <w:qFormat/>
    <w:rPr>
      <w:sz w:val="21"/>
      <w:szCs w:val="21"/>
    </w:rPr>
  </w:style>
  <w:style w:type="character" w:styleId="2Char">
    <w:name w:val="标题 2 Char"/>
    <w:qFormat/>
    <w:rPr>
      <w:rFonts w:ascii="Calibri Light" w:hAnsi="Calibri Light" w:eastAsia="宋体;SimSun" w:cs="Times New Roman"/>
      <w:b/>
      <w:bCs/>
      <w:kern w:val="2"/>
      <w:sz w:val="32"/>
      <w:szCs w:val="32"/>
    </w:rPr>
  </w:style>
  <w:style w:type="character" w:styleId="Char">
    <w:name w:val="批注文字 Char"/>
    <w:qFormat/>
    <w:rPr>
      <w:kern w:val="2"/>
      <w:sz w:val="21"/>
      <w:szCs w:val="24"/>
    </w:rPr>
  </w:style>
  <w:style w:type="character" w:styleId="Char1">
    <w:name w:val="批注主题 Char"/>
    <w:qFormat/>
    <w:rPr>
      <w:b/>
      <w:bCs/>
      <w:kern w:val="2"/>
      <w:sz w:val="21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文字"/>
    <w:basedOn w:val="Normal"/>
    <w:qFormat/>
    <w:pPr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Style17">
    <w:name w:val="批注主题"/>
    <w:basedOn w:val="Style15"/>
    <w:next w:val="Style15"/>
    <w:qFormat/>
    <w:pPr/>
    <w:rPr>
      <w:b/>
      <w:bCs/>
    </w:rPr>
  </w:style>
  <w:style w:type="paragraph" w:styleId="ParaCharCharCharChar">
    <w:name w:val="默认段落字体 Para Char Char Char Char"/>
    <w:basedOn w:val="Normal"/>
    <w:qFormat/>
    <w:pPr/>
    <w:rPr/>
  </w:style>
  <w:style w:type="paragraph" w:styleId="ListParagraph">
    <w:name w:val="List Paragraph"/>
    <w:basedOn w:val="Normal"/>
    <w:qFormat/>
    <w:pPr>
      <w:ind w:firstLine="420" w:left="0" w:right="0"/>
    </w:pPr>
    <w:rPr>
      <w:rFonts w:ascii="Calibri" w:hAnsi="Calibri" w:cs="Calibri"/>
      <w:szCs w:val="21"/>
    </w:rPr>
  </w:style>
  <w:style w:type="paragraph" w:styleId="Style18">
    <w:name w:val="二级标题"/>
    <w:basedOn w:val="Heading2"/>
    <w:qFormat/>
    <w:pPr>
      <w:numPr>
        <w:ilvl w:val="0"/>
        <w:numId w:val="0"/>
      </w:numPr>
      <w:spacing w:lineRule="auto" w:line="360" w:before="0" w:after="0"/>
      <w:ind w:firstLine="200" w:left="0" w:right="0"/>
      <w:jc w:val="center"/>
      <w:outlineLvl w:val="9"/>
    </w:pPr>
    <w:rPr>
      <w:rFonts w:ascii="仿宋_GB2312;仿宋" w:hAnsi="仿宋_GB2312;仿宋" w:eastAsia="仿宋_GB2312;仿宋" w:cs="Times New Roman"/>
      <w:sz w:val="28"/>
      <w:szCs w:val="28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LibreOffice/7.6.2.1$MacOSX_AARCH64 LibreOffice_project/56f7684011345957bbf33a7ee678afaf4d2ba333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2014-09-02T10:36:00Z</dcterms:created>
  <dc:creator/>
  <dc:description/>
  <cp:keywords/>
  <dc:language>zh-CN</dc:language>
  <cp:lastModifiedBy/>
  <cp:lastPrinted>2014-09-02T10:35:00Z</cp:lastPrinted>
  <dcterms:modified xsi:type="dcterms:W3CDTF">2020-01-08T19:31:00Z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