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仿宋_GB2312;仿宋"/>
          <w:sz w:val="28"/>
          <w:szCs w:val="28"/>
        </w:rPr>
      </w:pPr>
      <w:r>
        <w:rPr>
          <w:rFonts w:eastAsia="仿宋_GB2312;仿宋"/>
          <w:sz w:val="28"/>
          <w:szCs w:val="28"/>
        </w:rPr>
      </w:r>
    </w:p>
    <w:p>
      <w:pPr>
        <w:pStyle w:val="Style17"/>
        <w:ind w:hanging="0" w:right="0"/>
        <w:rPr>
          <w:rFonts w:ascii="Times New Roman" w:hAnsi="Times New Roman" w:cs="Times New Roman"/>
        </w:rPr>
      </w:pPr>
      <w:r>
        <w:rPr>
          <w:rFonts w:ascii="Times New Roman" w:hAnsi="Times New Roman" w:cs="Times New Roman"/>
        </w:rPr>
        <w:t>资产负债管理制度（暂行）</w:t>
      </w:r>
    </w:p>
    <w:p>
      <w:pPr>
        <w:pStyle w:val="Normal"/>
        <w:snapToGrid w:val="false"/>
        <w:spacing w:lineRule="auto" w:line="360"/>
        <w:ind w:firstLine="537" w:right="0"/>
        <w:jc w:val="center"/>
        <w:rPr>
          <w:rFonts w:ascii="Times New Roman" w:hAnsi="Times New Roman" w:eastAsia="仿宋_GB2312;仿宋" w:cs="Times New Roman"/>
          <w:sz w:val="28"/>
          <w:szCs w:val="28"/>
        </w:rPr>
      </w:pPr>
      <w:r>
        <w:rPr>
          <w:rFonts w:eastAsia="仿宋_GB2312;仿宋" w:cs="Times New Roman"/>
          <w:sz w:val="28"/>
          <w:szCs w:val="28"/>
        </w:rPr>
      </w:r>
    </w:p>
    <w:p>
      <w:pPr>
        <w:pStyle w:val="Normal"/>
        <w:snapToGrid w:val="false"/>
        <w:spacing w:lineRule="auto" w:line="36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w:t>
      </w:r>
      <w:r>
        <w:rPr>
          <w:rFonts w:eastAsia="Times New Roman"/>
          <w:b/>
          <w:sz w:val="28"/>
          <w:szCs w:val="28"/>
        </w:rPr>
        <w:t xml:space="preserve">  </w:t>
      </w:r>
      <w:r>
        <w:rPr>
          <w:rFonts w:eastAsia="仿宋_GB2312;仿宋"/>
          <w:b/>
          <w:sz w:val="28"/>
          <w:szCs w:val="28"/>
        </w:rPr>
        <w:t>则</w:t>
      </w:r>
    </w:p>
    <w:p>
      <w:pPr>
        <w:pStyle w:val="Normal"/>
        <w:snapToGrid w:val="false"/>
        <w:spacing w:lineRule="auto" w:line="360"/>
        <w:ind w:firstLine="539" w:right="0"/>
        <w:rPr/>
      </w:pPr>
      <w:r>
        <w:rPr>
          <w:rFonts w:eastAsia="仿宋_GB2312;仿宋"/>
          <w:b/>
          <w:sz w:val="28"/>
          <w:szCs w:val="28"/>
        </w:rPr>
        <w:t>第一条</w:t>
      </w:r>
      <w:r>
        <w:rPr>
          <w:rFonts w:eastAsia="Times New Roman"/>
          <w:sz w:val="28"/>
          <w:szCs w:val="28"/>
        </w:rPr>
        <w:t xml:space="preserve">  </w:t>
      </w:r>
      <w:r>
        <w:rPr>
          <w:rFonts w:eastAsia="仿宋_GB2312;仿宋"/>
          <w:sz w:val="28"/>
          <w:szCs w:val="28"/>
        </w:rPr>
        <w:t>为规范本行资产负债管理工作，促进本行经营实现安全性、流动性和效益性的最佳组合，协调短期和长期盈利目标，优化资源配置，提高决策效率，实现股东价值最大化，根据《中华人民共和国商业银行法》、《商业银行资本管理办法（试行）》、《商业银行内部控制指引》和《商业银行流动性风险管理办法（试行）》等法律法规，结合本行实际，制定本管理办法。</w:t>
      </w:r>
    </w:p>
    <w:p>
      <w:pPr>
        <w:pStyle w:val="Normal"/>
        <w:snapToGrid w:val="false"/>
        <w:spacing w:lineRule="auto" w:line="360"/>
        <w:ind w:firstLine="539" w:right="0"/>
        <w:rPr/>
      </w:pPr>
      <w:r>
        <w:rPr>
          <w:rFonts w:eastAsia="仿宋_GB2312;仿宋"/>
          <w:b/>
          <w:sz w:val="28"/>
          <w:szCs w:val="28"/>
        </w:rPr>
        <w:t>第二条</w:t>
      </w:r>
      <w:r>
        <w:rPr>
          <w:rFonts w:eastAsia="Times New Roman"/>
          <w:sz w:val="28"/>
          <w:szCs w:val="28"/>
        </w:rPr>
        <w:t xml:space="preserve">  </w:t>
      </w:r>
      <w:r>
        <w:rPr>
          <w:rFonts w:eastAsia="仿宋_GB2312;仿宋"/>
          <w:sz w:val="28"/>
          <w:szCs w:val="28"/>
        </w:rPr>
        <w:t>资产负债管理原则</w:t>
      </w:r>
    </w:p>
    <w:p>
      <w:pPr>
        <w:pStyle w:val="Normal"/>
        <w:snapToGrid w:val="false"/>
        <w:spacing w:lineRule="auto" w:line="360"/>
        <w:ind w:firstLine="537" w:right="0"/>
        <w:rPr/>
      </w:pPr>
      <w:r>
        <w:rPr>
          <w:rFonts w:eastAsia="仿宋_GB2312;仿宋"/>
          <w:sz w:val="28"/>
          <w:szCs w:val="28"/>
        </w:rPr>
        <w:t>（一）“三性”均衡原则。即安全性、流动性和效益性实现最佳均衡的管理原则。</w:t>
      </w:r>
    </w:p>
    <w:p>
      <w:pPr>
        <w:pStyle w:val="Normal"/>
        <w:snapToGrid w:val="false"/>
        <w:spacing w:lineRule="auto" w:line="360"/>
        <w:ind w:firstLine="537" w:right="0"/>
        <w:rPr/>
      </w:pPr>
      <w:r>
        <w:rPr>
          <w:rFonts w:eastAsia="仿宋_GB2312;仿宋"/>
          <w:sz w:val="28"/>
          <w:szCs w:val="28"/>
        </w:rPr>
        <w:t>（二）经济增加值持续增长原则。即通过协调管理短期和长期盈利目标，促进本行经济增加值的持续增长。</w:t>
      </w:r>
    </w:p>
    <w:p>
      <w:pPr>
        <w:pStyle w:val="Normal"/>
        <w:snapToGrid w:val="false"/>
        <w:spacing w:lineRule="auto" w:line="360"/>
        <w:ind w:firstLine="537" w:right="0"/>
        <w:rPr>
          <w:rFonts w:eastAsia="仿宋_GB2312;仿宋"/>
          <w:sz w:val="28"/>
          <w:szCs w:val="28"/>
        </w:rPr>
      </w:pPr>
      <w:r>
        <w:rPr>
          <w:rFonts w:eastAsia="仿宋_GB2312;仿宋"/>
          <w:sz w:val="28"/>
          <w:szCs w:val="28"/>
        </w:rPr>
        <w:t>（三）优化资本配置原则。即通过资产负债管理，引导各项业务主动收缩和扩张，促使资本占用向效益好、效率高、风险低的产品、业务和区域倾斜。</w:t>
      </w:r>
    </w:p>
    <w:p>
      <w:pPr>
        <w:pStyle w:val="Normal"/>
        <w:snapToGrid w:val="false"/>
        <w:spacing w:lineRule="auto" w:line="360"/>
        <w:ind w:firstLine="537" w:right="0"/>
        <w:rPr>
          <w:rFonts w:eastAsia="仿宋_GB2312;仿宋"/>
          <w:sz w:val="28"/>
          <w:szCs w:val="28"/>
        </w:rPr>
      </w:pPr>
      <w:r>
        <w:rPr>
          <w:rFonts w:eastAsia="仿宋_GB2312;仿宋"/>
          <w:sz w:val="28"/>
          <w:szCs w:val="28"/>
        </w:rPr>
        <w:t>（四）动态管理原则。即战略性、前瞻性地管理各项资产负债业务，做到事前调控，根据本行业务运行状况和对市场环境因素的判断等，选择业务发展策略和管理业务风险。</w:t>
      </w:r>
    </w:p>
    <w:p>
      <w:pPr>
        <w:pStyle w:val="Normal"/>
        <w:snapToGrid w:val="false"/>
        <w:spacing w:lineRule="auto" w:line="360"/>
        <w:ind w:firstLine="537" w:right="0"/>
        <w:rPr/>
      </w:pPr>
      <w:r>
        <w:rPr>
          <w:rFonts w:eastAsia="仿宋_GB2312;仿宋"/>
          <w:sz w:val="28"/>
          <w:szCs w:val="28"/>
        </w:rPr>
        <w:t>（五）量化管理原则。即借鉴和引进先进的管理理念、技术手段和工具等对各种可控风险进行逐步量化，科学决策。</w:t>
      </w:r>
    </w:p>
    <w:p>
      <w:pPr>
        <w:pStyle w:val="Normal"/>
        <w:snapToGrid w:val="false"/>
        <w:spacing w:lineRule="auto" w:line="360"/>
        <w:ind w:firstLine="539" w:right="0"/>
        <w:rPr/>
      </w:pPr>
      <w:r>
        <w:rPr>
          <w:rFonts w:eastAsia="仿宋_GB2312;仿宋"/>
          <w:b/>
          <w:sz w:val="28"/>
          <w:szCs w:val="28"/>
        </w:rPr>
        <w:t>第三条</w:t>
      </w:r>
      <w:r>
        <w:rPr>
          <w:rFonts w:eastAsia="Times New Roman"/>
          <w:sz w:val="28"/>
          <w:szCs w:val="28"/>
        </w:rPr>
        <w:t xml:space="preserve">  </w:t>
      </w:r>
      <w:r>
        <w:rPr>
          <w:rFonts w:eastAsia="仿宋_GB2312;仿宋"/>
          <w:sz w:val="28"/>
          <w:szCs w:val="28"/>
        </w:rPr>
        <w:t>管理范围和方法</w:t>
      </w:r>
    </w:p>
    <w:p>
      <w:pPr>
        <w:pStyle w:val="Normal"/>
        <w:snapToGrid w:val="false"/>
        <w:spacing w:lineRule="auto" w:line="360"/>
        <w:ind w:firstLine="537" w:right="0"/>
        <w:rPr/>
      </w:pPr>
      <w:r>
        <w:rPr>
          <w:rFonts w:eastAsia="仿宋_GB2312;仿宋"/>
          <w:sz w:val="28"/>
          <w:szCs w:val="28"/>
        </w:rPr>
        <w:t>资产负债管理范围包括对资产负债表内外所有项目及其衍生产品或工具的整体风险暴露、资本配置、定价管理、盈利能力等进行评估、决策和控制。本办法主要规范资产管理、负债管理、利率管理、资本管理、流动性管理和资产负债比例管理等相关内容。</w:t>
      </w:r>
    </w:p>
    <w:p>
      <w:pPr>
        <w:pStyle w:val="Normal"/>
        <w:snapToGrid w:val="false"/>
        <w:spacing w:lineRule="auto" w:line="360"/>
        <w:ind w:firstLine="537" w:right="0"/>
        <w:rPr>
          <w:rFonts w:eastAsia="仿宋_GB2312;仿宋"/>
          <w:sz w:val="28"/>
          <w:szCs w:val="28"/>
        </w:rPr>
      </w:pPr>
      <w:r>
        <w:rPr>
          <w:rFonts w:eastAsia="仿宋_GB2312;仿宋"/>
          <w:sz w:val="28"/>
          <w:szCs w:val="28"/>
        </w:rPr>
        <w:t>管理方法主要采用比例管理和限额管理（包括缺口限额管理、敞口限额管理、交易限额等）相结合，并辅之以压力测试和应急管理等管理方法和手段。</w:t>
      </w:r>
    </w:p>
    <w:p>
      <w:pPr>
        <w:pStyle w:val="Normal"/>
        <w:snapToGrid w:val="false"/>
        <w:spacing w:lineRule="auto" w:line="360"/>
        <w:ind w:firstLine="537" w:right="0"/>
        <w:rPr>
          <w:rFonts w:eastAsia="仿宋_GB2312;仿宋"/>
          <w:sz w:val="28"/>
          <w:szCs w:val="28"/>
        </w:rPr>
      </w:pPr>
      <w:r>
        <w:rPr>
          <w:rFonts w:eastAsia="仿宋_GB2312;仿宋"/>
          <w:sz w:val="28"/>
          <w:szCs w:val="28"/>
        </w:rPr>
      </w:r>
    </w:p>
    <w:p>
      <w:pPr>
        <w:pStyle w:val="Normal"/>
        <w:snapToGrid w:val="false"/>
        <w:spacing w:lineRule="auto" w:line="360"/>
        <w:jc w:val="center"/>
        <w:rPr>
          <w:rFonts w:eastAsia="仿宋_GB2312;仿宋"/>
          <w:b/>
          <w:sz w:val="28"/>
          <w:szCs w:val="28"/>
        </w:rPr>
      </w:pPr>
      <w:r>
        <w:rPr>
          <w:rFonts w:eastAsia="仿宋_GB2312;仿宋"/>
          <w:b/>
          <w:sz w:val="28"/>
          <w:szCs w:val="28"/>
        </w:rPr>
        <w:t>第二章　组织机构及分工</w:t>
      </w:r>
    </w:p>
    <w:p>
      <w:pPr>
        <w:pStyle w:val="Normal"/>
        <w:snapToGrid w:val="false"/>
        <w:spacing w:lineRule="auto" w:line="360"/>
        <w:ind w:firstLine="539" w:right="0"/>
        <w:rPr/>
      </w:pPr>
      <w:r>
        <w:rPr>
          <w:rFonts w:eastAsia="仿宋_GB2312;仿宋"/>
          <w:b/>
          <w:sz w:val="28"/>
          <w:szCs w:val="28"/>
        </w:rPr>
        <w:t>第四条</w:t>
      </w:r>
      <w:r>
        <w:rPr>
          <w:rFonts w:eastAsia="Times New Roman"/>
          <w:sz w:val="28"/>
          <w:szCs w:val="28"/>
        </w:rPr>
        <w:t xml:space="preserve">  </w:t>
      </w:r>
      <w:r>
        <w:rPr>
          <w:rFonts w:eastAsia="仿宋_GB2312;仿宋"/>
          <w:sz w:val="28"/>
          <w:szCs w:val="28"/>
        </w:rPr>
        <w:t>资产负债管理实行总行统一管理的管理体系，总行设立资产负债管理委员会。委员会设主任委员一名</w:t>
      </w:r>
      <w:r>
        <w:rPr>
          <w:rFonts w:eastAsia="Times New Roman"/>
          <w:sz w:val="28"/>
          <w:szCs w:val="28"/>
        </w:rPr>
        <w:t xml:space="preserve"> </w:t>
      </w:r>
      <w:r>
        <w:rPr>
          <w:rFonts w:eastAsia="仿宋_GB2312;仿宋"/>
          <w:sz w:val="28"/>
          <w:szCs w:val="28"/>
        </w:rPr>
        <w:t>，由行长担任，负责主持委员会工作，副主任委员由分管财务副行长担任，成员由行长室其他副行长、信贷管理部、风险管理部、运营管理部、计划财务部负责人担任，委员会成员根据本行资产负债管理工作需要调整。</w:t>
      </w:r>
    </w:p>
    <w:p>
      <w:pPr>
        <w:pStyle w:val="Normal"/>
        <w:snapToGrid w:val="false"/>
        <w:spacing w:lineRule="auto" w:line="360"/>
        <w:ind w:firstLine="539" w:right="0"/>
        <w:rPr/>
      </w:pPr>
      <w:r>
        <w:rPr>
          <w:rFonts w:eastAsia="仿宋_GB2312;仿宋"/>
          <w:b/>
          <w:sz w:val="28"/>
          <w:szCs w:val="28"/>
        </w:rPr>
        <w:t>第五条</w:t>
      </w:r>
      <w:r>
        <w:rPr>
          <w:rFonts w:eastAsia="Times New Roman"/>
          <w:sz w:val="28"/>
          <w:szCs w:val="28"/>
        </w:rPr>
        <w:t xml:space="preserve">  </w:t>
      </w:r>
      <w:r>
        <w:rPr>
          <w:rFonts w:eastAsia="仿宋_GB2312;仿宋"/>
          <w:sz w:val="28"/>
          <w:szCs w:val="28"/>
        </w:rPr>
        <w:t>资产负债管理委员会下设办公室，作为日常办事机构，办公室设在计划财务部。计划财务部在资产负债管理委员会的领导下，负责本行资产负债管理政策传达、综合协调、监控指导、信息收集与整理汇总等，并负责定期向资产负债管理委员会提交资产负债管理分析报告及相关建议。</w:t>
      </w:r>
    </w:p>
    <w:p>
      <w:pPr>
        <w:pStyle w:val="Normal"/>
        <w:snapToGrid w:val="false"/>
        <w:spacing w:lineRule="auto" w:line="360"/>
        <w:ind w:firstLine="539" w:right="0"/>
        <w:rPr>
          <w:rFonts w:eastAsia="仿宋_GB2312;仿宋"/>
          <w:b/>
          <w:sz w:val="28"/>
          <w:szCs w:val="28"/>
        </w:rPr>
      </w:pPr>
      <w:r>
        <w:rPr>
          <w:rFonts w:eastAsia="仿宋_GB2312;仿宋"/>
          <w:b/>
          <w:sz w:val="28"/>
          <w:szCs w:val="28"/>
        </w:rPr>
        <w:t>第六条</w:t>
      </w:r>
      <w:r>
        <w:rPr>
          <w:rFonts w:eastAsia="Times New Roman"/>
          <w:b/>
          <w:sz w:val="28"/>
          <w:szCs w:val="28"/>
        </w:rPr>
        <w:t xml:space="preserve">  </w:t>
      </w:r>
      <w:r>
        <w:rPr>
          <w:rFonts w:eastAsia="仿宋_GB2312;仿宋"/>
          <w:sz w:val="28"/>
          <w:szCs w:val="28"/>
        </w:rPr>
        <w:t>资产负债管理委员会委员部门负责及时提交涉及本部门的资产负债管理相关工作执行情况报告以及需经资产负债管理委员会讨论审批的事项。</w:t>
      </w:r>
    </w:p>
    <w:p>
      <w:pPr>
        <w:pStyle w:val="Normal"/>
        <w:snapToGrid w:val="false"/>
        <w:spacing w:lineRule="auto" w:line="360"/>
        <w:ind w:firstLine="539" w:right="0"/>
        <w:rPr/>
      </w:pPr>
      <w:r>
        <w:rPr>
          <w:rFonts w:eastAsia="仿宋_GB2312;仿宋"/>
          <w:b/>
          <w:sz w:val="28"/>
          <w:szCs w:val="28"/>
        </w:rPr>
        <w:t>第七条</w:t>
      </w:r>
      <w:r>
        <w:rPr>
          <w:rFonts w:eastAsia="Times New Roman"/>
          <w:b/>
          <w:sz w:val="28"/>
          <w:szCs w:val="28"/>
        </w:rPr>
        <w:t xml:space="preserve"> </w:t>
      </w:r>
      <w:r>
        <w:rPr>
          <w:rFonts w:eastAsia="Times New Roman"/>
          <w:sz w:val="28"/>
          <w:szCs w:val="28"/>
        </w:rPr>
        <w:t xml:space="preserve"> </w:t>
      </w:r>
      <w:r>
        <w:rPr>
          <w:rFonts w:eastAsia="仿宋_GB2312;仿宋"/>
          <w:sz w:val="28"/>
          <w:szCs w:val="28"/>
        </w:rPr>
        <w:t>资产负债管理委员会按照报告事项的缓急程度划分，会议分为定期召开和临时召开。例会由主任委员主持召开，如其因故不能出席，可指定其他人员主持召开。遇有重大事项或急办事项可随时召开。</w:t>
      </w:r>
    </w:p>
    <w:p>
      <w:pPr>
        <w:pStyle w:val="Normal"/>
        <w:snapToGrid w:val="false"/>
        <w:spacing w:lineRule="auto" w:line="360"/>
        <w:ind w:firstLine="537" w:right="0"/>
        <w:rPr>
          <w:rFonts w:eastAsia="仿宋_GB2312;仿宋"/>
          <w:sz w:val="28"/>
          <w:szCs w:val="28"/>
        </w:rPr>
      </w:pPr>
      <w:r>
        <w:rPr>
          <w:rFonts w:eastAsia="仿宋_GB2312;仿宋"/>
          <w:sz w:val="28"/>
          <w:szCs w:val="28"/>
        </w:rPr>
        <w:t>会议的一般程序是：听取并审议资产负债管理委员会办公室和各委员部门提交的分析报告和待议决事项，重点研究解决资产负债管理工作中存在的问题。</w:t>
      </w:r>
    </w:p>
    <w:p>
      <w:pPr>
        <w:pStyle w:val="Normal"/>
        <w:snapToGrid w:val="false"/>
        <w:spacing w:lineRule="auto" w:line="360"/>
        <w:ind w:firstLine="537" w:right="0"/>
        <w:rPr>
          <w:rFonts w:eastAsia="仿宋_GB2312;仿宋"/>
          <w:sz w:val="28"/>
          <w:szCs w:val="28"/>
        </w:rPr>
      </w:pPr>
      <w:r>
        <w:rPr>
          <w:rFonts w:eastAsia="仿宋_GB2312;仿宋"/>
          <w:sz w:val="28"/>
          <w:szCs w:val="28"/>
        </w:rPr>
      </w:r>
    </w:p>
    <w:p>
      <w:pPr>
        <w:pStyle w:val="Normal"/>
        <w:spacing w:lineRule="auto" w:line="360"/>
        <w:jc w:val="center"/>
        <w:rPr>
          <w:b/>
          <w:color w:val="000000"/>
          <w:sz w:val="28"/>
          <w:szCs w:val="28"/>
        </w:rPr>
      </w:pPr>
      <w:r>
        <w:rPr>
          <w:rFonts w:eastAsia="仿宋_GB2312;仿宋"/>
          <w:b/>
          <w:color w:val="000000"/>
          <w:sz w:val="28"/>
          <w:szCs w:val="28"/>
        </w:rPr>
        <w:t>第三章</w:t>
      </w:r>
      <w:r>
        <w:rPr>
          <w:rFonts w:eastAsia="Times New Roman"/>
          <w:b/>
          <w:color w:val="000000"/>
          <w:sz w:val="28"/>
          <w:szCs w:val="28"/>
        </w:rPr>
        <w:t xml:space="preserve">  </w:t>
      </w:r>
      <w:r>
        <w:rPr>
          <w:rFonts w:eastAsia="仿宋_GB2312;仿宋"/>
          <w:b/>
          <w:color w:val="000000"/>
          <w:sz w:val="28"/>
          <w:szCs w:val="28"/>
        </w:rPr>
        <w:t>资产管理</w:t>
      </w:r>
    </w:p>
    <w:p>
      <w:pPr>
        <w:pStyle w:val="Normal"/>
        <w:snapToGrid w:val="false"/>
        <w:spacing w:lineRule="auto" w:line="360"/>
        <w:ind w:firstLine="539" w:right="0"/>
        <w:rPr/>
      </w:pPr>
      <w:r>
        <w:rPr>
          <w:rFonts w:eastAsia="仿宋_GB2312;仿宋"/>
          <w:b/>
          <w:color w:val="000000"/>
          <w:sz w:val="28"/>
          <w:szCs w:val="28"/>
        </w:rPr>
        <w:t>第八条</w:t>
      </w:r>
      <w:r>
        <w:rPr>
          <w:rFonts w:eastAsia="Times New Roman"/>
          <w:color w:val="000000"/>
          <w:sz w:val="28"/>
          <w:szCs w:val="28"/>
        </w:rPr>
        <w:t xml:space="preserve">  </w:t>
      </w:r>
      <w:r>
        <w:rPr>
          <w:rFonts w:eastAsia="仿宋_GB2312;仿宋"/>
          <w:sz w:val="28"/>
          <w:szCs w:val="28"/>
        </w:rPr>
        <w:t>本行资产主要包括存放中央银行款项、存放同业资金、买入返售金融资产、信贷资产、债券投资等生息资产和库存现金、固定资产、无形资产、抵债资产等非生息资产。</w:t>
      </w:r>
    </w:p>
    <w:p>
      <w:pPr>
        <w:pStyle w:val="Normal"/>
        <w:snapToGrid w:val="false"/>
        <w:spacing w:lineRule="auto" w:line="360"/>
        <w:ind w:firstLine="539" w:right="0"/>
        <w:rPr/>
      </w:pPr>
      <w:r>
        <w:rPr>
          <w:rFonts w:eastAsia="仿宋_GB2312;仿宋"/>
          <w:b/>
          <w:sz w:val="28"/>
          <w:szCs w:val="28"/>
        </w:rPr>
        <w:t>第九条</w:t>
      </w:r>
      <w:r>
        <w:rPr>
          <w:rFonts w:eastAsia="Times New Roman"/>
          <w:sz w:val="28"/>
          <w:szCs w:val="28"/>
        </w:rPr>
        <w:t xml:space="preserve">  </w:t>
      </w:r>
      <w:r>
        <w:rPr>
          <w:rFonts w:eastAsia="仿宋_GB2312;仿宋"/>
          <w:sz w:val="28"/>
          <w:szCs w:val="28"/>
        </w:rPr>
        <w:t>本行资产业务经营管理遵循以下原则：</w:t>
      </w:r>
    </w:p>
    <w:p>
      <w:pPr>
        <w:pStyle w:val="Normal"/>
        <w:snapToGrid w:val="false"/>
        <w:spacing w:lineRule="auto" w:line="360"/>
        <w:ind w:firstLine="537" w:right="0"/>
        <w:rPr>
          <w:rFonts w:eastAsia="仿宋_GB2312;仿宋"/>
          <w:color w:val="FF0000"/>
          <w:sz w:val="28"/>
          <w:szCs w:val="28"/>
          <w:u w:val="single"/>
        </w:rPr>
      </w:pPr>
      <w:r>
        <w:rPr>
          <w:rFonts w:eastAsia="仿宋_GB2312;仿宋"/>
          <w:sz w:val="28"/>
          <w:szCs w:val="28"/>
        </w:rPr>
        <w:t>（一）资本约束原则。全行应按照经济资本管理的原则，不断调整优化资产结构，避免高风险业务对资本的过快侵蚀，确保资本充足率维持在董事会确定的管理目标以上。总行职能部门应积极建设本行经济资本管理体系，逐步实施以经济资本为核心的绩效考核办法，引导全行资产业务健康发展。</w:t>
      </w:r>
    </w:p>
    <w:p>
      <w:pPr>
        <w:pStyle w:val="Normal"/>
        <w:snapToGrid w:val="false"/>
        <w:spacing w:lineRule="auto" w:line="360"/>
        <w:ind w:firstLine="537" w:right="0"/>
        <w:rPr/>
      </w:pPr>
      <w:r>
        <w:rPr>
          <w:rFonts w:eastAsia="仿宋_GB2312;仿宋"/>
          <w:sz w:val="28"/>
          <w:szCs w:val="28"/>
        </w:rPr>
        <w:t>（二）风险控制原则。本行资产业务拓展应严格防范信用风险、市场风险、操作风险，总行职能部门应加强信贷管理、市场风险管理等信息系统建设，为识别、计量、监测、控制各类风险提供支持。</w:t>
      </w:r>
    </w:p>
    <w:p>
      <w:pPr>
        <w:pStyle w:val="Normal"/>
        <w:snapToGrid w:val="false"/>
        <w:spacing w:lineRule="auto" w:line="360"/>
        <w:ind w:firstLine="537" w:right="0"/>
        <w:rPr/>
      </w:pPr>
      <w:r>
        <w:rPr>
          <w:rFonts w:eastAsia="仿宋_GB2312;仿宋"/>
          <w:sz w:val="28"/>
          <w:szCs w:val="28"/>
        </w:rPr>
        <w:t>（三）期限匹配原则。资产业务拓展应遵循资产、负债期限结构匹配的原则，以控制期限缺口、维持流动性顺畅。总行职能部门应积极建设流动性管理体系，通过监测、分析与报告、预警与应急等管理流程持续做好流动性管理工作，严密防范流动性风险。</w:t>
      </w:r>
    </w:p>
    <w:p>
      <w:pPr>
        <w:pStyle w:val="Normal"/>
        <w:snapToGrid w:val="false"/>
        <w:spacing w:lineRule="auto" w:line="360"/>
        <w:ind w:firstLine="537" w:right="0"/>
        <w:rPr/>
      </w:pPr>
      <w:r>
        <w:rPr>
          <w:rFonts w:eastAsia="仿宋_GB2312;仿宋"/>
          <w:sz w:val="28"/>
          <w:szCs w:val="28"/>
        </w:rPr>
        <w:t>（四）盈利性原则。按照先贷款后存款的原则，制定存贷款定价管理规划、实施计划和定价模型，逐步实现存贷款利率系统定价、科学定价。支行在贷款议价时应充分考虑客户风险特征合理定价，促进经营效益增长。同时要努力压缩非生息资产，提高资产整体盈利水平。</w:t>
      </w:r>
    </w:p>
    <w:p>
      <w:pPr>
        <w:pStyle w:val="Normal"/>
        <w:snapToGrid w:val="false"/>
        <w:spacing w:lineRule="auto" w:line="360"/>
        <w:ind w:firstLine="539" w:right="0"/>
        <w:rPr/>
      </w:pPr>
      <w:r>
        <w:rPr>
          <w:rFonts w:eastAsia="仿宋_GB2312;仿宋"/>
          <w:b/>
          <w:color w:val="000000"/>
          <w:sz w:val="28"/>
          <w:szCs w:val="28"/>
        </w:rPr>
        <w:t>第十条</w:t>
      </w:r>
      <w:r>
        <w:rPr>
          <w:rFonts w:eastAsia="Times New Roman"/>
          <w:color w:val="000000"/>
          <w:sz w:val="28"/>
          <w:szCs w:val="28"/>
        </w:rPr>
        <w:t xml:space="preserve">  </w:t>
      </w:r>
      <w:r>
        <w:rPr>
          <w:rFonts w:eastAsia="仿宋_GB2312;仿宋"/>
          <w:sz w:val="28"/>
          <w:szCs w:val="28"/>
        </w:rPr>
        <w:t>现金资产包括库存现金、存放中央银行款项、存放系统内款项以及其他形式的现金资产。</w:t>
      </w:r>
    </w:p>
    <w:p>
      <w:pPr>
        <w:pStyle w:val="Normal"/>
        <w:snapToGrid w:val="false"/>
        <w:spacing w:lineRule="auto" w:line="360"/>
        <w:ind w:firstLine="537" w:right="0"/>
        <w:rPr>
          <w:rFonts w:eastAsia="仿宋_GB2312;仿宋"/>
          <w:sz w:val="28"/>
          <w:szCs w:val="28"/>
        </w:rPr>
      </w:pPr>
      <w:r>
        <w:rPr>
          <w:rFonts w:eastAsia="仿宋_GB2312;仿宋"/>
          <w:sz w:val="28"/>
          <w:szCs w:val="28"/>
        </w:rPr>
        <w:t>（一）支行认真做好现金的核算、保管、押运等管理工作，防止发生损失；总行年初合理确定各支行库存现金限额，减少现金占用；按照规定缴存存款准备金、流动性互助资金和清算备付金，在保证支付的前提下减少中央银行超额准备金存款和存放系统内款项，提高资金使用效益。</w:t>
      </w:r>
    </w:p>
    <w:p>
      <w:pPr>
        <w:pStyle w:val="Normal"/>
        <w:spacing w:lineRule="auto" w:line="360"/>
        <w:ind w:firstLine="537" w:right="0"/>
        <w:rPr>
          <w:rFonts w:eastAsia="仿宋_GB2312;仿宋"/>
          <w:sz w:val="28"/>
          <w:szCs w:val="28"/>
        </w:rPr>
      </w:pPr>
      <w:r>
        <w:rPr>
          <w:rFonts w:eastAsia="仿宋_GB2312;仿宋"/>
          <w:sz w:val="28"/>
          <w:szCs w:val="28"/>
        </w:rPr>
        <w:t>（二）支行应严格执行大额资金往账报备制度，以便总行头寸管理。</w:t>
      </w:r>
    </w:p>
    <w:p>
      <w:pPr>
        <w:pStyle w:val="Normal"/>
        <w:spacing w:lineRule="auto" w:line="360"/>
        <w:ind w:firstLine="539" w:right="0"/>
        <w:rPr/>
      </w:pPr>
      <w:r>
        <w:rPr>
          <w:rFonts w:eastAsia="仿宋_GB2312;仿宋"/>
          <w:b/>
          <w:sz w:val="28"/>
          <w:szCs w:val="28"/>
        </w:rPr>
        <w:t>第十一条</w:t>
      </w:r>
      <w:r>
        <w:rPr>
          <w:rFonts w:eastAsia="Times New Roman"/>
          <w:b/>
          <w:sz w:val="28"/>
          <w:szCs w:val="28"/>
        </w:rPr>
        <w:t xml:space="preserve"> </w:t>
      </w:r>
      <w:r>
        <w:rPr>
          <w:rFonts w:eastAsia="Times New Roman"/>
          <w:sz w:val="28"/>
          <w:szCs w:val="28"/>
        </w:rPr>
        <w:t xml:space="preserve"> </w:t>
      </w:r>
      <w:r>
        <w:rPr>
          <w:rFonts w:eastAsia="仿宋_GB2312;仿宋"/>
          <w:sz w:val="28"/>
          <w:szCs w:val="28"/>
        </w:rPr>
        <w:t>同业往来资产包括拆放同业、存放同业资金和买入返售金融资产。</w:t>
      </w:r>
    </w:p>
    <w:p>
      <w:pPr>
        <w:pStyle w:val="Normal"/>
        <w:spacing w:lineRule="auto" w:line="360"/>
        <w:ind w:firstLine="537" w:right="0"/>
        <w:rPr/>
      </w:pPr>
      <w:r>
        <w:rPr>
          <w:rFonts w:eastAsia="仿宋_GB2312;仿宋"/>
          <w:sz w:val="28"/>
          <w:szCs w:val="28"/>
        </w:rPr>
        <w:t>（一）同业往来资产业务逐步实行统一授信与限额管理，对同一法人金融机构的综合授信不得超过授信审查委员会核定的限额；融出资金余额不得超过中国人民银行核定的上限。</w:t>
      </w:r>
    </w:p>
    <w:p>
      <w:pPr>
        <w:pStyle w:val="Normal"/>
        <w:spacing w:lineRule="auto" w:line="360"/>
        <w:ind w:firstLine="537" w:right="0"/>
        <w:rPr>
          <w:rFonts w:eastAsia="仿宋_GB2312;仿宋"/>
          <w:sz w:val="28"/>
          <w:szCs w:val="28"/>
        </w:rPr>
      </w:pPr>
      <w:r>
        <w:rPr>
          <w:rFonts w:eastAsia="仿宋_GB2312;仿宋"/>
          <w:sz w:val="28"/>
          <w:szCs w:val="28"/>
        </w:rPr>
        <w:t>（二）总行职能部门应建立健全各类同业往来资产业务的操作规程，同业业务由总行专营机构实施。总行内审部门应定期或不定期的对同业往来业务进行专项稽核，不断完善内部控制制度，切实防范操作风险。</w:t>
      </w:r>
    </w:p>
    <w:p>
      <w:pPr>
        <w:pStyle w:val="Normal"/>
        <w:spacing w:lineRule="auto" w:line="360"/>
        <w:ind w:firstLine="539" w:right="0"/>
        <w:rPr/>
      </w:pPr>
      <w:r>
        <w:rPr>
          <w:rFonts w:eastAsia="仿宋_GB2312;仿宋"/>
          <w:b/>
          <w:sz w:val="28"/>
          <w:szCs w:val="28"/>
        </w:rPr>
        <w:t>第十二条</w:t>
      </w:r>
      <w:r>
        <w:rPr>
          <w:rFonts w:eastAsia="Times New Roman"/>
          <w:b/>
          <w:sz w:val="28"/>
          <w:szCs w:val="28"/>
        </w:rPr>
        <w:t xml:space="preserve"> </w:t>
      </w:r>
      <w:r>
        <w:rPr>
          <w:rFonts w:eastAsia="Times New Roman"/>
          <w:sz w:val="28"/>
          <w:szCs w:val="28"/>
        </w:rPr>
        <w:t xml:space="preserve"> </w:t>
      </w:r>
      <w:r>
        <w:rPr>
          <w:rFonts w:eastAsia="仿宋_GB2312;仿宋"/>
          <w:sz w:val="28"/>
          <w:szCs w:val="28"/>
        </w:rPr>
        <w:t>信贷资产包括法人贷款、自然人贷款、贴现、垫款、贸易融资等项目。</w:t>
      </w:r>
    </w:p>
    <w:p>
      <w:pPr>
        <w:pStyle w:val="Normal"/>
        <w:spacing w:lineRule="auto" w:line="360"/>
        <w:ind w:firstLine="537" w:right="0"/>
        <w:rPr/>
      </w:pPr>
      <w:r>
        <w:rPr>
          <w:rFonts w:eastAsia="仿宋_GB2312;仿宋"/>
          <w:sz w:val="28"/>
          <w:szCs w:val="28"/>
        </w:rPr>
        <w:t>（一）按照国家产业政策、货币政策和本行信贷政策的要求，准确把握贷款投向和投放节奏，自觉贯彻本行“支持三农和小微客户”的服务宗旨，不断推进信贷结构转型。</w:t>
      </w:r>
    </w:p>
    <w:p>
      <w:pPr>
        <w:pStyle w:val="Normal"/>
        <w:spacing w:lineRule="auto" w:line="360"/>
        <w:ind w:firstLine="537" w:right="0"/>
        <w:rPr/>
      </w:pPr>
      <w:r>
        <w:rPr>
          <w:rFonts w:eastAsia="仿宋_GB2312;仿宋"/>
          <w:sz w:val="28"/>
          <w:szCs w:val="28"/>
        </w:rPr>
        <w:t>（二）严格遵守存贷比管理原则，切实做好存、贷款计划的协调一致，确保全行经营业务始终处于可持续发展的良性轨道中。</w:t>
      </w:r>
    </w:p>
    <w:p>
      <w:pPr>
        <w:pStyle w:val="Normal"/>
        <w:spacing w:lineRule="auto" w:line="360"/>
        <w:ind w:firstLine="537" w:right="0"/>
        <w:rPr>
          <w:rFonts w:eastAsia="仿宋_GB2312;仿宋"/>
          <w:sz w:val="28"/>
          <w:szCs w:val="28"/>
        </w:rPr>
      </w:pPr>
      <w:r>
        <w:rPr>
          <w:rFonts w:eastAsia="仿宋_GB2312;仿宋"/>
          <w:sz w:val="28"/>
          <w:szCs w:val="28"/>
        </w:rPr>
        <w:t>（三）建立健全贷前调查、贷时审查和贷后检查制度并严格执行，严禁发生超权限、逆程序放贷等违规行为，切实防范信用风险。</w:t>
      </w:r>
    </w:p>
    <w:p>
      <w:pPr>
        <w:pStyle w:val="Normal"/>
        <w:spacing w:lineRule="auto" w:line="360"/>
        <w:ind w:firstLine="539" w:right="0"/>
        <w:rPr/>
      </w:pPr>
      <w:r>
        <w:rPr>
          <w:rFonts w:eastAsia="仿宋_GB2312;仿宋"/>
          <w:b/>
          <w:color w:val="000000"/>
          <w:sz w:val="28"/>
          <w:szCs w:val="28"/>
        </w:rPr>
        <w:t>第十三条</w:t>
      </w:r>
      <w:r>
        <w:rPr>
          <w:rFonts w:eastAsia="Times New Roman"/>
          <w:color w:val="000000"/>
          <w:sz w:val="28"/>
          <w:szCs w:val="28"/>
        </w:rPr>
        <w:t xml:space="preserve">  </w:t>
      </w:r>
      <w:r>
        <w:rPr>
          <w:rFonts w:eastAsia="仿宋_GB2312;仿宋"/>
          <w:color w:val="000000"/>
          <w:sz w:val="28"/>
          <w:szCs w:val="28"/>
        </w:rPr>
        <w:t>投资包括国债、央行票据、政策性金融债券、企业债券等债券投资和对外股权投资项目。</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（一）本行投资业务由总行集中管理。</w:t>
      </w:r>
    </w:p>
    <w:p>
      <w:pPr>
        <w:pStyle w:val="Normal"/>
        <w:spacing w:lineRule="auto" w:line="360"/>
        <w:ind w:firstLine="537" w:right="0"/>
        <w:rPr/>
      </w:pPr>
      <w:r>
        <w:rPr>
          <w:rFonts w:eastAsia="仿宋_GB2312;仿宋"/>
          <w:color w:val="000000"/>
          <w:sz w:val="28"/>
          <w:szCs w:val="28"/>
        </w:rPr>
        <w:t>（二）总行职能部门需切实履行债券资产经营管理职能，加强对宏观经济形势、债券市场等的研究，合理安排期限、品种结构，防范利率风险，争取实现较高的收益。</w:t>
      </w:r>
    </w:p>
    <w:p>
      <w:pPr>
        <w:pStyle w:val="Normal"/>
        <w:spacing w:lineRule="auto" w:line="360"/>
        <w:ind w:firstLine="537" w:right="0"/>
        <w:rPr/>
      </w:pPr>
      <w:r>
        <w:rPr>
          <w:rFonts w:eastAsia="仿宋_GB2312;仿宋"/>
          <w:color w:val="000000"/>
          <w:sz w:val="28"/>
          <w:szCs w:val="28"/>
        </w:rPr>
        <w:t>（三）本行应严格控制对外股权投资的范围，不得对工商企业等非金融机构进行股权投资。</w:t>
      </w:r>
    </w:p>
    <w:p>
      <w:pPr>
        <w:pStyle w:val="Normal"/>
        <w:snapToGrid w:val="false"/>
        <w:spacing w:lineRule="auto" w:line="360"/>
        <w:ind w:firstLine="539" w:right="0"/>
        <w:rPr>
          <w:rFonts w:eastAsia="仿宋_GB2312;仿宋"/>
          <w:sz w:val="28"/>
          <w:szCs w:val="28"/>
        </w:rPr>
      </w:pPr>
      <w:r>
        <w:rPr>
          <w:rFonts w:eastAsia="仿宋_GB2312;仿宋"/>
          <w:b/>
          <w:color w:val="000000"/>
          <w:sz w:val="28"/>
          <w:szCs w:val="28"/>
        </w:rPr>
        <w:t>第十四条</w:t>
      </w:r>
      <w:r>
        <w:rPr>
          <w:rFonts w:eastAsia="Times New Roman"/>
          <w:color w:val="000000"/>
          <w:sz w:val="28"/>
          <w:szCs w:val="28"/>
        </w:rPr>
        <w:t xml:space="preserve">  </w:t>
      </w:r>
      <w:r>
        <w:rPr>
          <w:rFonts w:eastAsia="仿宋_GB2312;仿宋"/>
          <w:color w:val="000000"/>
          <w:sz w:val="28"/>
          <w:szCs w:val="28"/>
        </w:rPr>
        <w:t>总行职能部门要切实履行统筹管理全行固定资产的职责，合理规划固定资产投资计划，科学设计本行固定资产购置的标准化评审体系，不断加大闲置固定资产处置力度，提高固定资产使用效率与效益，严格控制固定资产比例。</w:t>
      </w:r>
    </w:p>
    <w:p>
      <w:pPr>
        <w:pStyle w:val="Normal"/>
        <w:autoSpaceDE w:val="false"/>
        <w:spacing w:lineRule="auto" w:line="360"/>
        <w:ind w:firstLine="539" w:right="0"/>
        <w:rPr>
          <w:rFonts w:eastAsia="仿宋_GB2312;仿宋"/>
        </w:rPr>
      </w:pPr>
      <w:r>
        <w:rPr>
          <w:rFonts w:eastAsia="仿宋_GB2312;仿宋"/>
          <w:b/>
          <w:sz w:val="28"/>
          <w:szCs w:val="28"/>
        </w:rPr>
        <w:t>第十五条</w:t>
      </w:r>
      <w:r>
        <w:rPr>
          <w:rFonts w:eastAsia="Times New Roman"/>
          <w:b/>
          <w:sz w:val="28"/>
          <w:szCs w:val="28"/>
        </w:rPr>
        <w:t xml:space="preserve"> </w:t>
      </w:r>
      <w:r>
        <w:rPr>
          <w:rFonts w:eastAsia="Times New Roman"/>
          <w:sz w:val="28"/>
          <w:szCs w:val="28"/>
        </w:rPr>
        <w:t xml:space="preserve"> </w:t>
      </w:r>
      <w:r>
        <w:rPr>
          <w:rFonts w:eastAsia="仿宋_GB2312;仿宋"/>
          <w:sz w:val="28"/>
          <w:szCs w:val="28"/>
        </w:rPr>
        <w:t>支行应加强抵债资产的管理，切实做好抵债资产的保管、价值评估、减值准备计提及处置等相关工作，避免因保管不善导致抵债资产灭失或价值下跌；按照有关处置期限规定及时完成抵债资产的处置工作，争取最大的收益、降低处置损失。</w:t>
      </w:r>
      <w:r>
        <w:rPr>
          <w:rFonts w:eastAsia="Times New Roman"/>
          <w:sz w:val="28"/>
          <w:szCs w:val="28"/>
        </w:rPr>
        <w:t xml:space="preserve"> </w:t>
      </w:r>
    </w:p>
    <w:p>
      <w:pPr>
        <w:pStyle w:val="Normal"/>
        <w:autoSpaceDE w:val="false"/>
        <w:spacing w:lineRule="auto" w:line="360"/>
        <w:ind w:firstLine="539" w:right="0"/>
        <w:rPr/>
      </w:pPr>
      <w:r>
        <w:rPr>
          <w:rFonts w:eastAsia="仿宋_GB2312;仿宋"/>
          <w:b/>
          <w:sz w:val="28"/>
          <w:szCs w:val="28"/>
        </w:rPr>
        <w:t>第十六条</w:t>
      </w:r>
      <w:r>
        <w:rPr>
          <w:rFonts w:eastAsia="Times New Roman"/>
          <w:sz w:val="28"/>
          <w:szCs w:val="28"/>
        </w:rPr>
        <w:t xml:space="preserve">  </w:t>
      </w:r>
      <w:r>
        <w:rPr>
          <w:rFonts w:eastAsia="仿宋_GB2312;仿宋"/>
          <w:sz w:val="28"/>
          <w:szCs w:val="28"/>
        </w:rPr>
        <w:t>加强非信贷资产的管理，制订相应的管理制度和风险防范措施；总行职能部门须对各类挂账、垫款、抵债资产、待清理资产制订具体的清收、清理、处置办法和措施。</w:t>
      </w:r>
    </w:p>
    <w:p>
      <w:pPr>
        <w:pStyle w:val="Normal"/>
        <w:spacing w:lineRule="auto" w:line="360"/>
        <w:ind w:firstLine="537" w:right="0"/>
        <w:jc w:val="center"/>
        <w:rPr>
          <w:rFonts w:eastAsia="仿宋_GB2312;仿宋"/>
          <w:color w:val="000000"/>
          <w:sz w:val="28"/>
          <w:szCs w:val="28"/>
        </w:rPr>
      </w:pPr>
      <w:r>
        <w:rPr>
          <w:rFonts w:eastAsia="仿宋_GB2312;仿宋"/>
          <w:color w:val="000000"/>
          <w:sz w:val="28"/>
          <w:szCs w:val="28"/>
        </w:rPr>
      </w:r>
    </w:p>
    <w:p>
      <w:pPr>
        <w:pStyle w:val="Normal"/>
        <w:spacing w:lineRule="auto" w:line="360"/>
        <w:jc w:val="center"/>
        <w:rPr>
          <w:b/>
          <w:color w:val="000000"/>
          <w:sz w:val="28"/>
          <w:szCs w:val="28"/>
        </w:rPr>
      </w:pPr>
      <w:r>
        <w:rPr>
          <w:rFonts w:eastAsia="仿宋_GB2312;仿宋"/>
          <w:b/>
          <w:color w:val="000000"/>
          <w:sz w:val="28"/>
          <w:szCs w:val="28"/>
        </w:rPr>
        <w:t>第四章</w:t>
      </w:r>
      <w:r>
        <w:rPr>
          <w:rFonts w:eastAsia="Times New Roman"/>
          <w:b/>
          <w:color w:val="000000"/>
          <w:sz w:val="28"/>
          <w:szCs w:val="28"/>
        </w:rPr>
        <w:t xml:space="preserve">  </w:t>
      </w:r>
      <w:r>
        <w:rPr>
          <w:rFonts w:eastAsia="仿宋_GB2312;仿宋"/>
          <w:b/>
          <w:color w:val="000000"/>
          <w:sz w:val="28"/>
          <w:szCs w:val="28"/>
        </w:rPr>
        <w:t>负债管理</w:t>
      </w:r>
    </w:p>
    <w:p>
      <w:pPr>
        <w:pStyle w:val="Normal"/>
        <w:spacing w:lineRule="auto" w:line="360"/>
        <w:ind w:firstLine="539" w:right="0"/>
        <w:rPr/>
      </w:pPr>
      <w:r>
        <w:rPr>
          <w:rFonts w:eastAsia="仿宋_GB2312;仿宋"/>
          <w:b/>
          <w:color w:val="000000"/>
          <w:sz w:val="28"/>
          <w:szCs w:val="28"/>
        </w:rPr>
        <w:t>第十七条</w:t>
      </w:r>
      <w:r>
        <w:rPr>
          <w:rFonts w:eastAsia="Times New Roman"/>
          <w:b/>
          <w:color w:val="000000"/>
          <w:sz w:val="28"/>
          <w:szCs w:val="28"/>
        </w:rPr>
        <w:t xml:space="preserve"> </w:t>
      </w:r>
      <w:r>
        <w:rPr>
          <w:rFonts w:eastAsia="Times New Roman"/>
          <w:color w:val="000000"/>
          <w:sz w:val="28"/>
          <w:szCs w:val="28"/>
        </w:rPr>
        <w:t xml:space="preserve"> </w:t>
      </w:r>
      <w:r>
        <w:rPr>
          <w:rFonts w:eastAsia="仿宋_GB2312;仿宋"/>
          <w:color w:val="000000"/>
          <w:sz w:val="28"/>
          <w:szCs w:val="28"/>
        </w:rPr>
        <w:t>本行负债主要包括各项存款、同业往来等付息负债和应付款项等非付息负债。</w:t>
      </w:r>
    </w:p>
    <w:p>
      <w:pPr>
        <w:pStyle w:val="Normal"/>
        <w:spacing w:lineRule="auto" w:line="360"/>
        <w:ind w:firstLine="539" w:right="0"/>
        <w:rPr/>
      </w:pPr>
      <w:r>
        <w:rPr>
          <w:rFonts w:eastAsia="仿宋_GB2312;仿宋"/>
          <w:b/>
          <w:color w:val="000000"/>
          <w:sz w:val="28"/>
          <w:szCs w:val="28"/>
        </w:rPr>
        <w:t>第十八条</w:t>
      </w:r>
      <w:r>
        <w:rPr>
          <w:rFonts w:eastAsia="Times New Roman"/>
          <w:color w:val="000000"/>
          <w:sz w:val="28"/>
          <w:szCs w:val="28"/>
        </w:rPr>
        <w:t xml:space="preserve">  </w:t>
      </w:r>
      <w:r>
        <w:rPr>
          <w:rFonts w:eastAsia="仿宋_GB2312;仿宋"/>
          <w:color w:val="000000"/>
          <w:sz w:val="28"/>
          <w:szCs w:val="28"/>
        </w:rPr>
        <w:t>支行需努力控制资金成本，严禁高息揽存等非法行为。</w:t>
      </w:r>
    </w:p>
    <w:p>
      <w:pPr>
        <w:pStyle w:val="Normal"/>
        <w:spacing w:lineRule="auto" w:line="360"/>
        <w:ind w:firstLine="539" w:right="0"/>
        <w:rPr/>
      </w:pPr>
      <w:r>
        <w:rPr>
          <w:rFonts w:eastAsia="仿宋_GB2312;仿宋"/>
          <w:b/>
          <w:color w:val="000000"/>
          <w:sz w:val="28"/>
          <w:szCs w:val="28"/>
        </w:rPr>
        <w:t>第十九条</w:t>
      </w:r>
      <w:r>
        <w:rPr>
          <w:rFonts w:eastAsia="Times New Roman"/>
          <w:color w:val="000000"/>
          <w:sz w:val="28"/>
          <w:szCs w:val="28"/>
        </w:rPr>
        <w:t xml:space="preserve">  </w:t>
      </w:r>
      <w:r>
        <w:rPr>
          <w:rFonts w:eastAsia="仿宋_GB2312;仿宋"/>
          <w:color w:val="000000"/>
          <w:sz w:val="28"/>
          <w:szCs w:val="28"/>
        </w:rPr>
        <w:t>各项存款是指单位、居民个人存入本行的短期、定期资金。</w:t>
      </w:r>
    </w:p>
    <w:p>
      <w:pPr>
        <w:pStyle w:val="Normal"/>
        <w:spacing w:lineRule="auto" w:line="360"/>
        <w:ind w:firstLine="537" w:right="0"/>
        <w:rPr/>
      </w:pPr>
      <w:r>
        <w:rPr>
          <w:rFonts w:eastAsia="仿宋_GB2312;仿宋"/>
          <w:color w:val="000000"/>
          <w:sz w:val="28"/>
          <w:szCs w:val="28"/>
        </w:rPr>
        <w:t>（一）支行须牢固树立“存款立行”的指导思想，始终紧抓存款这一工作主线，加大市场拓展力度；总行职能部门要不断加快金融创新步伐，丰富金融服务产品体系，促进存款增长。全行存款工作的目标是确保市场份额的持续稳定上升。</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（二）全行应积极开展主动负债管理，根据资产业务需要安排存款结构，不断优化期限结构，保证流动性监管指标维持在合理水平。</w:t>
      </w:r>
    </w:p>
    <w:p>
      <w:pPr>
        <w:pStyle w:val="Normal"/>
        <w:spacing w:lineRule="auto" w:line="360"/>
        <w:ind w:firstLine="539" w:right="0"/>
        <w:rPr/>
      </w:pPr>
      <w:r>
        <w:rPr>
          <w:rFonts w:eastAsia="仿宋_GB2312;仿宋"/>
          <w:b/>
          <w:color w:val="000000"/>
          <w:sz w:val="28"/>
          <w:szCs w:val="28"/>
        </w:rPr>
        <w:t>第二十条</w:t>
      </w:r>
      <w:r>
        <w:rPr>
          <w:rFonts w:eastAsia="Times New Roman"/>
          <w:color w:val="000000"/>
          <w:sz w:val="28"/>
          <w:szCs w:val="28"/>
        </w:rPr>
        <w:t xml:space="preserve">  </w:t>
      </w:r>
      <w:r>
        <w:rPr>
          <w:rFonts w:eastAsia="仿宋_GB2312;仿宋"/>
          <w:color w:val="000000"/>
          <w:sz w:val="28"/>
          <w:szCs w:val="28"/>
        </w:rPr>
        <w:t>同业往来负债包括向中央银行借款、同业借款、同业存放资金、卖出回购金融资产等项目。</w:t>
      </w:r>
    </w:p>
    <w:p>
      <w:pPr>
        <w:pStyle w:val="Normal"/>
        <w:spacing w:lineRule="auto" w:line="360"/>
        <w:ind w:firstLine="537" w:right="0"/>
        <w:rPr/>
      </w:pPr>
      <w:r>
        <w:rPr>
          <w:rFonts w:eastAsia="仿宋_GB2312;仿宋"/>
          <w:color w:val="000000"/>
          <w:sz w:val="28"/>
          <w:szCs w:val="28"/>
        </w:rPr>
        <w:t>总行职能部门应将同业往来负债作为辅助的资金来源加以管理，努力拓展同业往来业务，促进经营效益的增长。同时应合理安排同业负债期限结构，避免对流动性管理产生不利影响。</w:t>
      </w:r>
    </w:p>
    <w:p>
      <w:pPr>
        <w:pStyle w:val="Normal"/>
        <w:spacing w:lineRule="auto" w:line="360"/>
        <w:ind w:firstLine="539" w:right="0"/>
        <w:rPr/>
      </w:pPr>
      <w:r>
        <w:rPr>
          <w:rFonts w:eastAsia="仿宋_GB2312;仿宋"/>
          <w:b/>
          <w:color w:val="000000"/>
          <w:sz w:val="28"/>
          <w:szCs w:val="28"/>
        </w:rPr>
        <w:t>第二十一条</w:t>
      </w:r>
      <w:r>
        <w:rPr>
          <w:rFonts w:eastAsia="Times New Roman"/>
          <w:color w:val="000000"/>
          <w:sz w:val="28"/>
          <w:szCs w:val="28"/>
        </w:rPr>
        <w:t xml:space="preserve">  </w:t>
      </w:r>
      <w:r>
        <w:rPr>
          <w:rFonts w:eastAsia="仿宋_GB2312;仿宋"/>
          <w:color w:val="000000"/>
          <w:sz w:val="28"/>
          <w:szCs w:val="28"/>
        </w:rPr>
        <w:t>应付款项包括应付职工薪酬、应交税费、应付利息等项目。</w:t>
      </w:r>
    </w:p>
    <w:p>
      <w:pPr>
        <w:pStyle w:val="Normal"/>
        <w:snapToGrid w:val="false"/>
        <w:spacing w:lineRule="auto" w:line="360"/>
        <w:ind w:firstLine="537" w:right="0"/>
        <w:rPr/>
      </w:pPr>
      <w:r>
        <w:rPr>
          <w:rFonts w:eastAsia="仿宋_GB2312;仿宋"/>
          <w:color w:val="000000"/>
          <w:sz w:val="28"/>
          <w:szCs w:val="28"/>
        </w:rPr>
        <w:t>支行应准确核算各类应付款项，确保利润核算真实、准确，应付职工薪酬应按总行职能部门核定的人事费用总额、按序时进度均衡列支；应交税费应按照相关税收法规的规定和本行财务核算结果准确提取；应付利息应根据负债品种、期限和利率结构足额提取，维持合理、充足的存款利息备付。</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r>
    </w:p>
    <w:p>
      <w:pPr>
        <w:pStyle w:val="Normal"/>
        <w:snapToGrid w:val="false"/>
        <w:spacing w:lineRule="auto" w:line="360"/>
        <w:jc w:val="center"/>
        <w:rPr>
          <w:rFonts w:eastAsia="仿宋_GB2312;仿宋"/>
          <w:b/>
          <w:sz w:val="28"/>
          <w:szCs w:val="28"/>
        </w:rPr>
      </w:pPr>
      <w:r>
        <w:rPr>
          <w:rFonts w:eastAsia="仿宋_GB2312;仿宋"/>
          <w:b/>
          <w:color w:val="000000"/>
          <w:sz w:val="28"/>
          <w:szCs w:val="28"/>
        </w:rPr>
        <w:t>第五章</w:t>
      </w:r>
      <w:r>
        <w:rPr>
          <w:rFonts w:eastAsia="Times New Roman"/>
          <w:b/>
          <w:color w:val="000000"/>
          <w:sz w:val="28"/>
          <w:szCs w:val="28"/>
        </w:rPr>
        <w:t xml:space="preserve">  </w:t>
      </w:r>
      <w:r>
        <w:rPr>
          <w:rFonts w:eastAsia="仿宋_GB2312;仿宋"/>
          <w:b/>
          <w:color w:val="000000"/>
          <w:sz w:val="28"/>
          <w:szCs w:val="28"/>
        </w:rPr>
        <w:t>利率管理</w:t>
      </w:r>
    </w:p>
    <w:p>
      <w:pPr>
        <w:pStyle w:val="Normal"/>
        <w:autoSpaceDE w:val="false"/>
        <w:snapToGrid w:val="false"/>
        <w:spacing w:lineRule="auto" w:line="360"/>
        <w:ind w:firstLine="539" w:right="0"/>
        <w:rPr/>
      </w:pPr>
      <w:r>
        <w:rPr>
          <w:rFonts w:eastAsia="仿宋_GB2312;仿宋"/>
          <w:b/>
          <w:color w:val="000000"/>
          <w:sz w:val="28"/>
          <w:szCs w:val="28"/>
        </w:rPr>
        <w:t>第二十二条</w:t>
      </w:r>
      <w:r>
        <w:rPr>
          <w:rFonts w:eastAsia="Times New Roman"/>
          <w:color w:val="000000"/>
          <w:sz w:val="28"/>
          <w:szCs w:val="28"/>
        </w:rPr>
        <w:t xml:space="preserve">  </w:t>
      </w:r>
      <w:r>
        <w:rPr>
          <w:rFonts w:eastAsia="仿宋_GB2312;仿宋"/>
          <w:color w:val="000000"/>
          <w:sz w:val="28"/>
          <w:szCs w:val="28"/>
        </w:rPr>
        <w:t>利率管理的目标是为主动适应利率市场化改革要求，有效发挥利率杠杆对本行资产负债管理的导向作用，加强本行利率管理工作，提高本行利率市场化进程中防范市场风险的管理能力。</w:t>
      </w:r>
    </w:p>
    <w:p>
      <w:pPr>
        <w:pStyle w:val="Normal"/>
        <w:snapToGrid w:val="false"/>
        <w:spacing w:lineRule="auto" w:line="360"/>
        <w:ind w:firstLine="539" w:right="0"/>
        <w:rPr/>
      </w:pPr>
      <w:r>
        <w:rPr>
          <w:rFonts w:eastAsia="仿宋_GB2312;仿宋"/>
          <w:b/>
          <w:color w:val="000000"/>
          <w:sz w:val="28"/>
          <w:szCs w:val="28"/>
        </w:rPr>
        <w:t>第二十三条</w:t>
      </w:r>
      <w:r>
        <w:rPr>
          <w:rFonts w:eastAsia="Times New Roman"/>
          <w:b/>
          <w:color w:val="000000"/>
          <w:sz w:val="28"/>
          <w:szCs w:val="28"/>
        </w:rPr>
        <w:t xml:space="preserve">  </w:t>
      </w:r>
      <w:r>
        <w:rPr>
          <w:rFonts w:eastAsia="仿宋_GB2312;仿宋"/>
          <w:color w:val="000000"/>
          <w:sz w:val="28"/>
          <w:szCs w:val="28"/>
        </w:rPr>
        <w:t>利率定价主要遵循以下原则：</w:t>
      </w:r>
    </w:p>
    <w:p>
      <w:pPr>
        <w:pStyle w:val="Normal"/>
        <w:snapToGrid w:val="false"/>
        <w:spacing w:lineRule="auto" w:line="360"/>
        <w:ind w:firstLine="537" w:right="0"/>
        <w:rPr/>
      </w:pPr>
      <w:r>
        <w:rPr>
          <w:rFonts w:eastAsia="仿宋_GB2312;仿宋"/>
          <w:color w:val="000000"/>
          <w:sz w:val="28"/>
          <w:szCs w:val="28"/>
        </w:rPr>
        <w:t>（一）依法合规。利率的确定必须符合中国人民银行的有关规定，实际利率水平须在中国人民银行规定的业务区间内。</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t>（二）风险与收益匹配。利率定价须坚持价值导向，遵循收益与风险匹配的原则，全面测算各项成本和收益，科学准确的运用价格杠杆，对不同风险状况的客户进行定价。</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t>（三）以客户为中心。利率定价须坚持客户关系定价战略，统筹考虑基于客户关系的整体风险收益。</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t>（四）贴近市场。利率定价必须充分考虑市场资金供求和市场竞争能力，并结合自身的业务战略确定定价政策。</w:t>
      </w:r>
    </w:p>
    <w:p>
      <w:pPr>
        <w:pStyle w:val="Normal"/>
        <w:autoSpaceDE w:val="false"/>
        <w:snapToGrid w:val="false"/>
        <w:spacing w:lineRule="auto" w:line="360"/>
        <w:ind w:firstLine="539" w:right="0"/>
        <w:rPr/>
      </w:pPr>
      <w:r>
        <w:rPr>
          <w:rFonts w:eastAsia="仿宋_GB2312;仿宋"/>
          <w:b/>
          <w:color w:val="000000"/>
          <w:sz w:val="28"/>
          <w:szCs w:val="28"/>
        </w:rPr>
        <w:t>第二十四条</w:t>
      </w:r>
      <w:r>
        <w:rPr>
          <w:rFonts w:eastAsia="Times New Roman"/>
          <w:color w:val="000000"/>
          <w:sz w:val="28"/>
          <w:szCs w:val="28"/>
        </w:rPr>
        <w:t xml:space="preserve">  </w:t>
      </w:r>
      <w:r>
        <w:rPr>
          <w:rFonts w:eastAsia="仿宋_GB2312;仿宋"/>
          <w:color w:val="000000"/>
          <w:sz w:val="28"/>
          <w:szCs w:val="28"/>
        </w:rPr>
        <w:t>利率管理的范围包括本外币自营存款、自营贷款、同业业务等。</w:t>
      </w:r>
    </w:p>
    <w:p>
      <w:pPr>
        <w:pStyle w:val="Normal"/>
        <w:snapToGrid w:val="false"/>
        <w:spacing w:lineRule="auto" w:line="360"/>
        <w:ind w:firstLine="539" w:right="0"/>
        <w:rPr>
          <w:rFonts w:eastAsia="仿宋_GB2312;仿宋"/>
          <w:b/>
          <w:color w:val="000000"/>
          <w:sz w:val="28"/>
          <w:szCs w:val="28"/>
        </w:rPr>
      </w:pPr>
      <w:r>
        <w:rPr>
          <w:rFonts w:eastAsia="仿宋_GB2312;仿宋"/>
          <w:b/>
          <w:color w:val="000000"/>
          <w:sz w:val="28"/>
          <w:szCs w:val="28"/>
        </w:rPr>
        <w:t>第二十五条</w:t>
      </w:r>
      <w:r>
        <w:rPr>
          <w:rFonts w:eastAsia="Times New Roman"/>
          <w:color w:val="000000"/>
          <w:sz w:val="28"/>
          <w:szCs w:val="28"/>
        </w:rPr>
        <w:t xml:space="preserve">  </w:t>
      </w:r>
      <w:r>
        <w:rPr>
          <w:rFonts w:eastAsia="仿宋_GB2312;仿宋"/>
          <w:color w:val="000000"/>
          <w:sz w:val="28"/>
          <w:szCs w:val="28"/>
        </w:rPr>
        <w:t>总行职能部门应建立健全本行内部资金转移定价系统（</w:t>
      </w:r>
      <w:r>
        <w:rPr>
          <w:rFonts w:eastAsia="仿宋_GB2312;仿宋"/>
          <w:color w:val="000000"/>
          <w:sz w:val="28"/>
          <w:szCs w:val="28"/>
        </w:rPr>
        <w:t>FTP</w:t>
      </w:r>
      <w:r>
        <w:rPr>
          <w:rFonts w:eastAsia="仿宋_GB2312;仿宋"/>
          <w:color w:val="000000"/>
          <w:sz w:val="28"/>
          <w:szCs w:val="28"/>
        </w:rPr>
        <w:t>），为全行控制资金成本提供明确的政策导向。</w:t>
      </w:r>
    </w:p>
    <w:p>
      <w:pPr>
        <w:pStyle w:val="Normal"/>
        <w:snapToGrid w:val="false"/>
        <w:spacing w:lineRule="auto" w:line="360"/>
        <w:ind w:firstLine="539" w:right="0"/>
        <w:rPr/>
      </w:pPr>
      <w:r>
        <w:rPr>
          <w:rFonts w:eastAsia="仿宋_GB2312;仿宋"/>
          <w:b/>
          <w:color w:val="000000"/>
          <w:sz w:val="28"/>
          <w:szCs w:val="28"/>
        </w:rPr>
        <w:t>第二十六条</w:t>
      </w:r>
      <w:r>
        <w:rPr>
          <w:rFonts w:eastAsia="Times New Roman"/>
          <w:color w:val="000000"/>
          <w:sz w:val="28"/>
          <w:szCs w:val="28"/>
        </w:rPr>
        <w:t xml:space="preserve">  </w:t>
      </w:r>
      <w:r>
        <w:rPr>
          <w:rFonts w:eastAsia="仿宋_GB2312;仿宋"/>
          <w:color w:val="000000"/>
          <w:sz w:val="28"/>
          <w:szCs w:val="28"/>
        </w:rPr>
        <w:t>具体业务的利率定价须综合考虑资金成本（收益）、运营成本、信用风险成本、资本占用成本、税负成本以及目标利润等相关因素综合确定。</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t>（一）资金成本（收益）：指业务的</w:t>
      </w:r>
      <w:r>
        <w:rPr>
          <w:rFonts w:eastAsia="仿宋_GB2312;仿宋"/>
          <w:color w:val="000000"/>
          <w:sz w:val="28"/>
          <w:szCs w:val="28"/>
        </w:rPr>
        <w:t>FTP</w:t>
      </w:r>
      <w:r>
        <w:rPr>
          <w:rFonts w:eastAsia="仿宋_GB2312;仿宋"/>
          <w:color w:val="000000"/>
          <w:sz w:val="28"/>
          <w:szCs w:val="28"/>
        </w:rPr>
        <w:t>价格。</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t>（二）运营成本：包括业务所发生的直接费用水平和分摊在业务上的间接费用率。</w:t>
      </w:r>
    </w:p>
    <w:p>
      <w:pPr>
        <w:pStyle w:val="Normal"/>
        <w:snapToGrid w:val="false"/>
        <w:spacing w:lineRule="auto" w:line="360"/>
        <w:ind w:firstLine="537" w:right="0"/>
        <w:rPr>
          <w:rFonts w:eastAsia="仿宋_GB2312;仿宋"/>
          <w:color w:val="000000"/>
          <w:sz w:val="28"/>
          <w:szCs w:val="28"/>
        </w:rPr>
      </w:pPr>
      <w:r>
        <w:rPr>
          <w:rFonts w:eastAsia="仿宋_GB2312;仿宋"/>
          <w:color w:val="000000"/>
          <w:sz w:val="28"/>
          <w:szCs w:val="28"/>
        </w:rPr>
        <w:t>（三）风险成本：指业务所面临的信用风险、操作风险、市场风险等成本。</w:t>
      </w:r>
    </w:p>
    <w:p>
      <w:pPr>
        <w:pStyle w:val="Normal"/>
        <w:snapToGrid w:val="false"/>
        <w:spacing w:lineRule="auto" w:line="360"/>
        <w:ind w:firstLine="537" w:right="0"/>
        <w:rPr/>
      </w:pPr>
      <w:r>
        <w:rPr>
          <w:rFonts w:eastAsia="仿宋_GB2312;仿宋"/>
          <w:color w:val="000000"/>
          <w:sz w:val="28"/>
          <w:szCs w:val="28"/>
        </w:rPr>
        <w:t>（四）资本成本：指业务占用的资本的价格，是风险加权资产比例、资本转换系数、资本成本率的乘积。</w:t>
      </w:r>
    </w:p>
    <w:p>
      <w:pPr>
        <w:pStyle w:val="Normal"/>
        <w:snapToGrid w:val="false"/>
        <w:spacing w:lineRule="auto" w:line="360"/>
        <w:ind w:firstLine="537" w:right="0"/>
        <w:rPr>
          <w:rFonts w:eastAsia="仿宋_GB2312;仿宋"/>
        </w:rPr>
      </w:pPr>
      <w:r>
        <w:rPr>
          <w:rFonts w:eastAsia="仿宋_GB2312;仿宋"/>
          <w:color w:val="000000"/>
          <w:sz w:val="28"/>
          <w:szCs w:val="28"/>
        </w:rPr>
        <w:t>（五）税负成本：业务所需缴纳的营业税及附加。</w:t>
      </w:r>
      <w:r>
        <w:rPr>
          <w:rFonts w:eastAsia="Times New Roman"/>
          <w:b/>
          <w:color w:val="000000"/>
          <w:sz w:val="28"/>
          <w:szCs w:val="28"/>
        </w:rPr>
        <w:t xml:space="preserve"> </w:t>
      </w:r>
      <w:r>
        <w:rPr>
          <w:rFonts w:eastAsia="Times New Roman"/>
          <w:color w:val="000000"/>
          <w:sz w:val="28"/>
          <w:szCs w:val="28"/>
        </w:rPr>
        <w:t xml:space="preserve"> </w:t>
      </w:r>
    </w:p>
    <w:p>
      <w:pPr>
        <w:pStyle w:val="Normal"/>
        <w:snapToGrid w:val="false"/>
        <w:spacing w:lineRule="auto" w:line="360"/>
        <w:ind w:firstLine="539" w:right="0"/>
        <w:rPr/>
      </w:pPr>
      <w:r>
        <w:rPr>
          <w:rFonts w:eastAsia="仿宋_GB2312;仿宋"/>
          <w:b/>
          <w:bCs/>
          <w:color w:val="000000"/>
          <w:sz w:val="28"/>
          <w:szCs w:val="28"/>
        </w:rPr>
        <w:t>第二十七条</w:t>
      </w:r>
      <w:r>
        <w:rPr>
          <w:rFonts w:eastAsia="Times New Roman"/>
          <w:b/>
          <w:bCs/>
          <w:color w:val="000000"/>
          <w:sz w:val="28"/>
          <w:szCs w:val="28"/>
        </w:rPr>
        <w:t xml:space="preserve">  </w:t>
      </w:r>
      <w:r>
        <w:rPr>
          <w:rFonts w:eastAsia="仿宋_GB2312;仿宋"/>
          <w:bCs/>
          <w:color w:val="000000"/>
          <w:sz w:val="28"/>
          <w:szCs w:val="28"/>
        </w:rPr>
        <w:t>对于执行浮动管理利率的人民币自营存、贷款业务，其利率按中国人民银行和总行业务部门的相关规定执行。</w:t>
      </w:r>
    </w:p>
    <w:p>
      <w:pPr>
        <w:pStyle w:val="Normal"/>
        <w:snapToGrid w:val="false"/>
        <w:spacing w:lineRule="auto" w:line="360"/>
        <w:ind w:firstLine="539" w:right="0"/>
        <w:rPr>
          <w:rFonts w:eastAsia="仿宋_GB2312;仿宋"/>
          <w:b/>
          <w:bCs/>
          <w:color w:val="000000"/>
          <w:sz w:val="28"/>
          <w:szCs w:val="28"/>
        </w:rPr>
      </w:pPr>
      <w:r>
        <w:rPr>
          <w:rFonts w:eastAsia="仿宋_GB2312;仿宋"/>
          <w:b/>
          <w:bCs/>
          <w:color w:val="000000"/>
          <w:sz w:val="28"/>
          <w:szCs w:val="28"/>
        </w:rPr>
        <w:t>第二十八条</w:t>
      </w:r>
      <w:r>
        <w:rPr>
          <w:rFonts w:eastAsia="Times New Roman"/>
          <w:b/>
          <w:bCs/>
          <w:color w:val="000000"/>
          <w:sz w:val="28"/>
          <w:szCs w:val="28"/>
        </w:rPr>
        <w:t xml:space="preserve">  </w:t>
      </w:r>
      <w:r>
        <w:rPr>
          <w:rFonts w:eastAsia="仿宋_GB2312;仿宋"/>
          <w:bCs/>
          <w:color w:val="000000"/>
          <w:sz w:val="28"/>
          <w:szCs w:val="28"/>
        </w:rPr>
        <w:t>人民币票据业务的指导利率由总行计划财务部公布，金融市场部在总行指导利率的基础上确定执行利率，如遇特殊情况需低于指导利率的，按总行执行优惠利率审批表的规定进行审批。</w:t>
      </w:r>
    </w:p>
    <w:p>
      <w:pPr>
        <w:pStyle w:val="Normal"/>
        <w:snapToGrid w:val="false"/>
        <w:spacing w:lineRule="auto" w:line="360"/>
        <w:ind w:firstLine="539" w:right="0"/>
        <w:rPr/>
      </w:pPr>
      <w:r>
        <w:rPr>
          <w:rFonts w:eastAsia="仿宋_GB2312;仿宋"/>
          <w:b/>
          <w:bCs/>
          <w:color w:val="000000"/>
          <w:sz w:val="28"/>
          <w:szCs w:val="28"/>
        </w:rPr>
        <w:t>第二十九条</w:t>
      </w:r>
      <w:r>
        <w:rPr>
          <w:rFonts w:eastAsia="Times New Roman"/>
          <w:b/>
          <w:bCs/>
          <w:color w:val="000000"/>
          <w:sz w:val="28"/>
          <w:szCs w:val="28"/>
        </w:rPr>
        <w:t xml:space="preserve">  </w:t>
      </w:r>
      <w:r>
        <w:rPr>
          <w:rFonts w:eastAsia="仿宋_GB2312;仿宋"/>
          <w:bCs/>
          <w:color w:val="000000"/>
          <w:sz w:val="28"/>
          <w:szCs w:val="28"/>
        </w:rPr>
        <w:t>人民币同业存款利率按当日相同期限档次的上海银行间同业拆放利率（以下简称</w:t>
      </w:r>
      <w:r>
        <w:rPr>
          <w:rFonts w:eastAsia="仿宋_GB2312;仿宋"/>
          <w:bCs/>
          <w:color w:val="000000"/>
          <w:sz w:val="28"/>
          <w:szCs w:val="28"/>
        </w:rPr>
        <w:t>Shibor</w:t>
      </w:r>
      <w:r>
        <w:rPr>
          <w:rFonts w:eastAsia="仿宋_GB2312;仿宋"/>
          <w:bCs/>
          <w:color w:val="000000"/>
          <w:sz w:val="28"/>
          <w:szCs w:val="28"/>
        </w:rPr>
        <w:t>）加浮动点来确定，若</w:t>
      </w:r>
      <w:r>
        <w:rPr>
          <w:rFonts w:eastAsia="仿宋_GB2312;仿宋"/>
          <w:bCs/>
          <w:color w:val="000000"/>
          <w:sz w:val="28"/>
          <w:szCs w:val="28"/>
        </w:rPr>
        <w:t>Shibor</w:t>
      </w:r>
      <w:r>
        <w:rPr>
          <w:rFonts w:eastAsia="仿宋_GB2312;仿宋"/>
          <w:bCs/>
          <w:color w:val="000000"/>
          <w:sz w:val="28"/>
          <w:szCs w:val="28"/>
        </w:rPr>
        <w:t>没有与之相对应的期限档次，则采用相邻期限档次利率加浮动点来确定。浮动点根据本行资金状况、市场收益情况、市场走势等因素确定。</w:t>
      </w:r>
    </w:p>
    <w:p>
      <w:pPr>
        <w:pStyle w:val="Normal"/>
        <w:snapToGrid w:val="false"/>
        <w:spacing w:lineRule="auto" w:line="360"/>
        <w:ind w:firstLine="539" w:right="0"/>
        <w:rPr/>
      </w:pPr>
      <w:r>
        <w:rPr>
          <w:rFonts w:eastAsia="仿宋_GB2312;仿宋"/>
          <w:b/>
          <w:bCs/>
          <w:color w:val="000000"/>
          <w:sz w:val="28"/>
          <w:szCs w:val="28"/>
        </w:rPr>
        <w:t>第三十条</w:t>
      </w:r>
      <w:r>
        <w:rPr>
          <w:rFonts w:eastAsia="Times New Roman"/>
          <w:b/>
          <w:bCs/>
          <w:color w:val="000000"/>
          <w:sz w:val="28"/>
          <w:szCs w:val="28"/>
        </w:rPr>
        <w:t xml:space="preserve"> </w:t>
      </w:r>
      <w:r>
        <w:rPr>
          <w:rFonts w:eastAsia="Times New Roman"/>
          <w:bCs/>
          <w:color w:val="000000"/>
          <w:sz w:val="28"/>
          <w:szCs w:val="28"/>
        </w:rPr>
        <w:t xml:space="preserve"> </w:t>
      </w:r>
      <w:r>
        <w:rPr>
          <w:rFonts w:eastAsia="仿宋_GB2312;仿宋"/>
          <w:bCs/>
          <w:color w:val="000000"/>
          <w:sz w:val="28"/>
          <w:szCs w:val="28"/>
        </w:rPr>
        <w:t>人民币同业定期存款不得部分提前支取，需全额提前支取时，按照双方商定的利率计息。人民币同业定期存款到期不办理自动转存，到期日遇节假日顺延。</w:t>
      </w:r>
    </w:p>
    <w:p>
      <w:pPr>
        <w:pStyle w:val="Normal"/>
        <w:autoSpaceDE w:val="false"/>
        <w:snapToGrid w:val="false"/>
        <w:spacing w:lineRule="auto" w:line="360"/>
        <w:ind w:firstLine="539" w:right="0"/>
        <w:rPr/>
      </w:pPr>
      <w:r>
        <w:rPr>
          <w:rFonts w:eastAsia="仿宋_GB2312;仿宋"/>
          <w:b/>
          <w:color w:val="000000"/>
          <w:sz w:val="28"/>
          <w:szCs w:val="28"/>
        </w:rPr>
        <w:t>第三十一条</w:t>
      </w:r>
      <w:r>
        <w:rPr>
          <w:rFonts w:eastAsia="Times New Roman"/>
          <w:color w:val="000000"/>
          <w:sz w:val="28"/>
          <w:szCs w:val="28"/>
        </w:rPr>
        <w:t xml:space="preserve">  </w:t>
      </w:r>
      <w:r>
        <w:rPr>
          <w:rFonts w:eastAsia="仿宋_GB2312;仿宋"/>
          <w:color w:val="000000"/>
          <w:sz w:val="28"/>
          <w:szCs w:val="28"/>
        </w:rPr>
        <w:t>内部资金利率是引导本行内部资金流动、优化资产负债结构的重要手段，本行内部资金利率的制定原则为：以配合本行发展战略的实现、实施本行的资产负债管理政策为主要目标，同时充分考虑市场利率走势。</w:t>
      </w:r>
    </w:p>
    <w:p>
      <w:pPr>
        <w:pStyle w:val="Normal"/>
        <w:autoSpaceDE w:val="false"/>
        <w:snapToGrid w:val="false"/>
        <w:spacing w:lineRule="auto" w:line="360"/>
        <w:ind w:firstLine="539" w:right="0"/>
        <w:rPr/>
      </w:pPr>
      <w:r>
        <w:rPr>
          <w:rFonts w:eastAsia="仿宋_GB2312;仿宋"/>
          <w:b/>
          <w:color w:val="000000"/>
          <w:sz w:val="28"/>
          <w:szCs w:val="28"/>
        </w:rPr>
        <w:t>第三十二条</w:t>
      </w:r>
      <w:r>
        <w:rPr>
          <w:rFonts w:eastAsia="Times New Roman"/>
          <w:b/>
          <w:color w:val="000000"/>
          <w:sz w:val="28"/>
          <w:szCs w:val="28"/>
        </w:rPr>
        <w:t xml:space="preserve">  </w:t>
      </w:r>
      <w:r>
        <w:rPr>
          <w:rFonts w:eastAsia="仿宋_GB2312;仿宋"/>
          <w:color w:val="000000"/>
          <w:sz w:val="28"/>
          <w:szCs w:val="28"/>
        </w:rPr>
        <w:t>内部资金价格具有调整系统内利益分配的作用，总行制定的内部资金价格应促进各单位共同发展、公平分享利润，最大限度地调动积极性。在确定辖内内部资金价格时，不以盈利为目的，尽量做到收支平衡。</w:t>
      </w:r>
    </w:p>
    <w:p>
      <w:pPr>
        <w:pStyle w:val="Normal"/>
        <w:snapToGrid w:val="false"/>
        <w:spacing w:lineRule="auto" w:line="360"/>
        <w:ind w:firstLine="539" w:right="0"/>
        <w:rPr>
          <w:rFonts w:eastAsia="仿宋_GB2312;仿宋"/>
          <w:b/>
          <w:color w:val="000000"/>
          <w:sz w:val="28"/>
          <w:szCs w:val="28"/>
        </w:rPr>
      </w:pPr>
      <w:r>
        <w:rPr>
          <w:rFonts w:eastAsia="仿宋_GB2312;仿宋"/>
          <w:b/>
          <w:color w:val="000000"/>
          <w:sz w:val="28"/>
          <w:szCs w:val="28"/>
        </w:rPr>
      </w:r>
    </w:p>
    <w:p>
      <w:pPr>
        <w:pStyle w:val="Normal"/>
        <w:snapToGrid w:val="false"/>
        <w:spacing w:lineRule="auto" w:line="360"/>
        <w:jc w:val="center"/>
        <w:rPr>
          <w:b/>
          <w:sz w:val="28"/>
          <w:szCs w:val="28"/>
        </w:rPr>
      </w:pPr>
      <w:r>
        <w:rPr>
          <w:rFonts w:eastAsia="仿宋_GB2312;仿宋"/>
          <w:b/>
          <w:sz w:val="28"/>
          <w:szCs w:val="28"/>
        </w:rPr>
        <w:t>第六章</w:t>
      </w:r>
      <w:r>
        <w:rPr>
          <w:rFonts w:eastAsia="Times New Roman"/>
          <w:b/>
          <w:sz w:val="28"/>
          <w:szCs w:val="28"/>
        </w:rPr>
        <w:t xml:space="preserve">  </w:t>
      </w:r>
      <w:r>
        <w:rPr>
          <w:rFonts w:eastAsia="仿宋_GB2312;仿宋"/>
          <w:b/>
          <w:sz w:val="28"/>
          <w:szCs w:val="28"/>
        </w:rPr>
        <w:t>资本管理</w:t>
      </w:r>
    </w:p>
    <w:p>
      <w:pPr>
        <w:pStyle w:val="Normal"/>
        <w:snapToGrid w:val="false"/>
        <w:spacing w:lineRule="auto" w:line="360"/>
        <w:ind w:firstLine="539" w:right="0"/>
        <w:rPr/>
      </w:pPr>
      <w:r>
        <w:rPr>
          <w:rFonts w:eastAsia="仿宋_GB2312;仿宋"/>
          <w:b/>
          <w:sz w:val="28"/>
          <w:szCs w:val="28"/>
        </w:rPr>
        <w:t>第三十三条</w:t>
      </w:r>
      <w:r>
        <w:rPr>
          <w:rFonts w:eastAsia="Times New Roman"/>
          <w:sz w:val="28"/>
          <w:szCs w:val="28"/>
        </w:rPr>
        <w:t xml:space="preserve">  </w:t>
      </w:r>
      <w:r>
        <w:rPr>
          <w:rFonts w:eastAsia="仿宋_GB2312;仿宋"/>
          <w:sz w:val="28"/>
          <w:szCs w:val="28"/>
        </w:rPr>
        <w:t>资本管理的基本原则是：规模适度，配置合理；成本可控，收益约束。</w:t>
      </w:r>
    </w:p>
    <w:p>
      <w:pPr>
        <w:pStyle w:val="Normal"/>
        <w:snapToGrid w:val="false"/>
        <w:spacing w:lineRule="auto" w:line="360"/>
        <w:ind w:firstLine="537" w:right="0"/>
        <w:rPr/>
      </w:pPr>
      <w:r>
        <w:rPr>
          <w:rFonts w:eastAsia="仿宋_GB2312;仿宋"/>
          <w:sz w:val="28"/>
          <w:szCs w:val="28"/>
        </w:rPr>
        <w:t>（一）“规模适度，配置合理”是指本行资产规模的增长和新业务的开展以资本规模为基础，既定资本优先支持高收益、低风险业务的发展，提高资本使用效益。</w:t>
      </w:r>
    </w:p>
    <w:p>
      <w:pPr>
        <w:pStyle w:val="Normal"/>
        <w:snapToGrid w:val="false"/>
        <w:spacing w:lineRule="auto" w:line="360"/>
        <w:ind w:firstLine="537" w:right="0"/>
        <w:rPr>
          <w:rFonts w:eastAsia="仿宋_GB2312;仿宋"/>
          <w:sz w:val="28"/>
          <w:szCs w:val="28"/>
        </w:rPr>
      </w:pPr>
      <w:r>
        <w:rPr>
          <w:rFonts w:eastAsia="仿宋_GB2312;仿宋"/>
          <w:sz w:val="28"/>
          <w:szCs w:val="28"/>
        </w:rPr>
        <w:t>（二）“成本可控，收益约束”是指在资本筹集过程中，充分树立资本成本意识和资本收益约束观念，通过对各种筹资方案进行当期筹资成本、未来资本收益的综合性分析测算，择优确定筹资方式、筹资规模和结构。</w:t>
      </w:r>
    </w:p>
    <w:p>
      <w:pPr>
        <w:pStyle w:val="Normal"/>
        <w:snapToGrid w:val="false"/>
        <w:spacing w:lineRule="auto" w:line="360"/>
        <w:ind w:firstLine="539" w:right="0"/>
        <w:rPr/>
      </w:pPr>
      <w:r>
        <w:rPr>
          <w:rFonts w:eastAsia="仿宋_GB2312;仿宋"/>
          <w:b/>
          <w:sz w:val="28"/>
          <w:szCs w:val="28"/>
        </w:rPr>
        <w:t>第三十四条</w:t>
      </w:r>
      <w:r>
        <w:rPr>
          <w:rFonts w:eastAsia="Times New Roman"/>
          <w:sz w:val="28"/>
          <w:szCs w:val="28"/>
        </w:rPr>
        <w:t xml:space="preserve">  </w:t>
      </w:r>
      <w:r>
        <w:rPr>
          <w:rFonts w:eastAsia="仿宋_GB2312;仿宋"/>
          <w:sz w:val="28"/>
          <w:szCs w:val="28"/>
        </w:rPr>
        <w:t>资本管理的近期目标是在满足监管资本要求的基础上，支持本行业务发展，实现风险资产收益率最大化目标。</w:t>
      </w:r>
    </w:p>
    <w:p>
      <w:pPr>
        <w:pStyle w:val="Normal"/>
        <w:snapToGrid w:val="false"/>
        <w:spacing w:lineRule="auto" w:line="360"/>
        <w:ind w:firstLine="539" w:right="0"/>
        <w:rPr/>
      </w:pPr>
      <w:r>
        <w:rPr>
          <w:rFonts w:eastAsia="仿宋_GB2312;仿宋"/>
          <w:b/>
          <w:sz w:val="28"/>
          <w:szCs w:val="28"/>
        </w:rPr>
        <w:t>第三十五条</w:t>
      </w:r>
      <w:r>
        <w:rPr>
          <w:rFonts w:eastAsia="Times New Roman"/>
          <w:sz w:val="28"/>
          <w:szCs w:val="28"/>
        </w:rPr>
        <w:t xml:space="preserve">  </w:t>
      </w:r>
      <w:r>
        <w:rPr>
          <w:rFonts w:eastAsia="仿宋_GB2312;仿宋"/>
          <w:sz w:val="28"/>
          <w:szCs w:val="28"/>
        </w:rPr>
        <w:t>资本管理的远期目标是在本行范围内全面推行经济资本管理模式，建立以经济资本和经济增加值为核心的资本分配和绩效考核机制。</w:t>
      </w:r>
    </w:p>
    <w:p>
      <w:pPr>
        <w:pStyle w:val="Normal"/>
        <w:snapToGrid w:val="false"/>
        <w:spacing w:lineRule="auto" w:line="360"/>
        <w:ind w:firstLine="539" w:right="0"/>
        <w:rPr/>
      </w:pPr>
      <w:r>
        <w:rPr>
          <w:rFonts w:eastAsia="仿宋_GB2312;仿宋"/>
          <w:b/>
          <w:sz w:val="28"/>
          <w:szCs w:val="28"/>
        </w:rPr>
        <w:t>第三十六条</w:t>
      </w:r>
      <w:r>
        <w:rPr>
          <w:rFonts w:eastAsia="Times New Roman"/>
          <w:sz w:val="28"/>
          <w:szCs w:val="28"/>
        </w:rPr>
        <w:t xml:space="preserve">  </w:t>
      </w:r>
      <w:r>
        <w:rPr>
          <w:rFonts w:eastAsia="仿宋_GB2312;仿宋"/>
          <w:sz w:val="28"/>
          <w:szCs w:val="28"/>
        </w:rPr>
        <w:t>资本管理的主要内容包括：</w:t>
      </w:r>
    </w:p>
    <w:p>
      <w:pPr>
        <w:pStyle w:val="Normal"/>
        <w:snapToGrid w:val="false"/>
        <w:spacing w:lineRule="auto" w:line="360"/>
        <w:ind w:firstLine="537" w:right="0"/>
        <w:rPr>
          <w:rFonts w:eastAsia="仿宋_GB2312;仿宋"/>
          <w:sz w:val="28"/>
          <w:szCs w:val="28"/>
        </w:rPr>
      </w:pPr>
      <w:r>
        <w:rPr>
          <w:rFonts w:eastAsia="仿宋_GB2312;仿宋"/>
          <w:sz w:val="28"/>
          <w:szCs w:val="28"/>
        </w:rPr>
        <w:t>（一）确定资本发展规划、制定资本融资策略、选择和管理资本工具组合等。</w:t>
      </w:r>
    </w:p>
    <w:p>
      <w:pPr>
        <w:pStyle w:val="Normal"/>
        <w:snapToGrid w:val="false"/>
        <w:spacing w:lineRule="auto" w:line="360"/>
        <w:ind w:firstLine="537" w:right="0"/>
        <w:rPr>
          <w:rFonts w:eastAsia="仿宋_GB2312;仿宋"/>
          <w:sz w:val="28"/>
          <w:szCs w:val="28"/>
        </w:rPr>
      </w:pPr>
      <w:r>
        <w:rPr>
          <w:rFonts w:eastAsia="仿宋_GB2312;仿宋"/>
          <w:sz w:val="28"/>
          <w:szCs w:val="28"/>
        </w:rPr>
        <w:t>（二）管理资本风险。一是实施资本充足率管理，确保符合监管要求，包括资本充足率、一级资本充足率、核心一级资本充足率目标的确定、计量、分析、报告和披露；二是借助风险管理模型，为信用风险、市场风险和操作风险合理配置资本。</w:t>
      </w:r>
    </w:p>
    <w:p>
      <w:pPr>
        <w:pStyle w:val="Normal"/>
        <w:snapToGrid w:val="false"/>
        <w:spacing w:lineRule="auto" w:line="360"/>
        <w:ind w:firstLine="537" w:right="0"/>
        <w:rPr>
          <w:rFonts w:eastAsia="仿宋_GB2312;仿宋"/>
          <w:sz w:val="28"/>
          <w:szCs w:val="28"/>
        </w:rPr>
      </w:pPr>
      <w:r>
        <w:rPr>
          <w:rFonts w:eastAsia="仿宋_GB2312;仿宋"/>
          <w:sz w:val="28"/>
          <w:szCs w:val="28"/>
        </w:rPr>
        <w:t>（三）优化资本配置，提高经营效益。</w:t>
      </w:r>
    </w:p>
    <w:p>
      <w:pPr>
        <w:pStyle w:val="Normal"/>
        <w:snapToGrid w:val="false"/>
        <w:spacing w:lineRule="auto" w:line="360"/>
        <w:ind w:firstLine="539" w:right="0"/>
        <w:rPr/>
      </w:pPr>
      <w:r>
        <w:rPr>
          <w:rFonts w:eastAsia="仿宋_GB2312;仿宋"/>
          <w:b/>
          <w:sz w:val="28"/>
          <w:szCs w:val="28"/>
        </w:rPr>
        <w:t>第三十七条</w:t>
      </w:r>
      <w:r>
        <w:rPr>
          <w:rFonts w:eastAsia="Times New Roman"/>
          <w:sz w:val="28"/>
          <w:szCs w:val="28"/>
        </w:rPr>
        <w:t xml:space="preserve">  </w:t>
      </w:r>
      <w:r>
        <w:rPr>
          <w:rFonts w:eastAsia="仿宋_GB2312;仿宋"/>
          <w:sz w:val="28"/>
          <w:szCs w:val="28"/>
        </w:rPr>
        <w:t>资本充足率的计算必须严格按照《商业银行资本管理办法（试行）》和有关统计制度执行。本行资本充足率不低于</w:t>
      </w:r>
      <w:r>
        <w:rPr>
          <w:rFonts w:eastAsia="仿宋_GB2312;仿宋"/>
          <w:sz w:val="28"/>
          <w:szCs w:val="28"/>
        </w:rPr>
        <w:t>10.5%</w:t>
      </w:r>
      <w:r>
        <w:rPr>
          <w:rFonts w:eastAsia="仿宋_GB2312;仿宋"/>
          <w:sz w:val="28"/>
          <w:szCs w:val="28"/>
        </w:rPr>
        <w:t>，一级资本充足率不低于</w:t>
      </w:r>
      <w:r>
        <w:rPr>
          <w:rFonts w:eastAsia="仿宋_GB2312;仿宋"/>
          <w:sz w:val="28"/>
          <w:szCs w:val="28"/>
        </w:rPr>
        <w:t>8.5%</w:t>
      </w:r>
      <w:r>
        <w:rPr>
          <w:rFonts w:eastAsia="仿宋_GB2312;仿宋"/>
          <w:sz w:val="28"/>
          <w:szCs w:val="28"/>
        </w:rPr>
        <w:t>，核心一级资本充足率不低于</w:t>
      </w:r>
      <w:r>
        <w:rPr>
          <w:rFonts w:eastAsia="仿宋_GB2312;仿宋"/>
          <w:sz w:val="28"/>
          <w:szCs w:val="28"/>
        </w:rPr>
        <w:t>7.5%</w:t>
      </w:r>
      <w:r>
        <w:rPr>
          <w:rFonts w:eastAsia="仿宋_GB2312;仿宋"/>
          <w:sz w:val="28"/>
          <w:szCs w:val="28"/>
        </w:rPr>
        <w:t>。</w:t>
      </w:r>
    </w:p>
    <w:p>
      <w:pPr>
        <w:pStyle w:val="Normal"/>
        <w:snapToGrid w:val="false"/>
        <w:spacing w:lineRule="auto" w:line="360"/>
        <w:ind w:firstLine="539" w:right="0"/>
        <w:rPr/>
      </w:pPr>
      <w:r>
        <w:rPr>
          <w:rFonts w:eastAsia="仿宋_GB2312;仿宋"/>
          <w:b/>
          <w:sz w:val="28"/>
          <w:szCs w:val="28"/>
        </w:rPr>
        <w:t>第三十八条</w:t>
      </w:r>
      <w:r>
        <w:rPr>
          <w:rFonts w:eastAsia="Times New Roman"/>
          <w:sz w:val="28"/>
          <w:szCs w:val="28"/>
        </w:rPr>
        <w:t xml:space="preserve">  </w:t>
      </w:r>
      <w:r>
        <w:rPr>
          <w:rFonts w:eastAsia="仿宋_GB2312;仿宋"/>
          <w:sz w:val="28"/>
          <w:szCs w:val="28"/>
        </w:rPr>
        <w:t>在会计年度终了后四个月内，经董事会批准，及时、完整地披露本行资本充足率信息。</w:t>
      </w:r>
    </w:p>
    <w:p>
      <w:pPr>
        <w:pStyle w:val="Normal"/>
        <w:snapToGrid w:val="false"/>
        <w:spacing w:lineRule="auto" w:line="360"/>
        <w:ind w:firstLine="539" w:right="0"/>
        <w:rPr/>
      </w:pPr>
      <w:r>
        <w:rPr>
          <w:rFonts w:eastAsia="仿宋_GB2312;仿宋"/>
          <w:b/>
          <w:sz w:val="28"/>
          <w:szCs w:val="28"/>
        </w:rPr>
        <w:t>第三十九条</w:t>
      </w:r>
      <w:r>
        <w:rPr>
          <w:rFonts w:eastAsia="Times New Roman"/>
          <w:sz w:val="28"/>
          <w:szCs w:val="28"/>
        </w:rPr>
        <w:t xml:space="preserve">  </w:t>
      </w:r>
      <w:r>
        <w:rPr>
          <w:rFonts w:eastAsia="仿宋_GB2312;仿宋"/>
          <w:sz w:val="28"/>
          <w:szCs w:val="28"/>
        </w:rPr>
        <w:t>资本充足率管理通过对风险加权资产（其中，市场风险资本和操作风险资本分别乘以</w:t>
      </w:r>
      <w:r>
        <w:rPr>
          <w:rFonts w:eastAsia="仿宋_GB2312;仿宋"/>
          <w:sz w:val="28"/>
          <w:szCs w:val="28"/>
        </w:rPr>
        <w:t>12.5</w:t>
      </w:r>
      <w:r>
        <w:rPr>
          <w:rFonts w:eastAsia="仿宋_GB2312;仿宋"/>
          <w:sz w:val="28"/>
          <w:szCs w:val="28"/>
        </w:rPr>
        <w:t>折算成风险加权资产）采取“总量控制、限额管理、有偿调剂”的方式执行。各条线不得突破风险加权资产限额或经济资本限额，通过优化资本配置，提高资本使用效率。</w:t>
      </w:r>
    </w:p>
    <w:p>
      <w:pPr>
        <w:pStyle w:val="Normal"/>
        <w:snapToGrid w:val="false"/>
        <w:spacing w:lineRule="auto" w:line="360"/>
        <w:ind w:firstLine="539" w:right="0"/>
        <w:rPr/>
      </w:pPr>
      <w:r>
        <w:rPr>
          <w:rFonts w:eastAsia="仿宋_GB2312;仿宋"/>
          <w:b/>
          <w:sz w:val="28"/>
          <w:szCs w:val="28"/>
        </w:rPr>
        <w:t>第四十条</w:t>
      </w:r>
      <w:r>
        <w:rPr>
          <w:rFonts w:eastAsia="Times New Roman"/>
          <w:sz w:val="28"/>
          <w:szCs w:val="28"/>
        </w:rPr>
        <w:t xml:space="preserve">  </w:t>
      </w:r>
      <w:r>
        <w:rPr>
          <w:rFonts w:eastAsia="仿宋_GB2312;仿宋"/>
          <w:sz w:val="28"/>
          <w:szCs w:val="28"/>
        </w:rPr>
        <w:t>资本使用效率主要通过风险加权资产收益率或风险调整资本收益率</w:t>
      </w:r>
      <w:r>
        <w:rPr>
          <w:rFonts w:eastAsia="仿宋_GB2312;仿宋"/>
          <w:sz w:val="28"/>
          <w:szCs w:val="28"/>
        </w:rPr>
        <w:t>(RAROC)</w:t>
      </w:r>
      <w:r>
        <w:rPr>
          <w:rFonts w:eastAsia="仿宋_GB2312;仿宋"/>
          <w:sz w:val="28"/>
          <w:szCs w:val="28"/>
        </w:rPr>
        <w:t>以及经济增加值</w:t>
      </w:r>
      <w:r>
        <w:rPr>
          <w:rFonts w:eastAsia="仿宋_GB2312;仿宋"/>
          <w:sz w:val="28"/>
          <w:szCs w:val="28"/>
        </w:rPr>
        <w:t>(EVA)</w:t>
      </w:r>
      <w:r>
        <w:rPr>
          <w:rFonts w:eastAsia="仿宋_GB2312;仿宋"/>
          <w:sz w:val="28"/>
          <w:szCs w:val="28"/>
        </w:rPr>
        <w:t>等指标来衡量，以此来指导产品定价和改进资本管理和融资策略，实现股本回报率持续增长的经营目标。</w:t>
      </w:r>
    </w:p>
    <w:p>
      <w:pPr>
        <w:pStyle w:val="Normal"/>
        <w:snapToGrid w:val="false"/>
        <w:spacing w:lineRule="auto" w:line="360"/>
        <w:ind w:firstLine="537" w:right="0"/>
        <w:rPr>
          <w:rFonts w:eastAsia="仿宋_GB2312;仿宋"/>
          <w:sz w:val="28"/>
          <w:szCs w:val="28"/>
        </w:rPr>
      </w:pPr>
      <w:r>
        <w:rPr>
          <w:rFonts w:eastAsia="仿宋_GB2312;仿宋"/>
          <w:sz w:val="28"/>
          <w:szCs w:val="28"/>
        </w:rPr>
      </w:r>
    </w:p>
    <w:p>
      <w:pPr>
        <w:pStyle w:val="Normal"/>
        <w:snapToGrid w:val="false"/>
        <w:spacing w:lineRule="auto" w:line="360"/>
        <w:jc w:val="center"/>
        <w:rPr>
          <w:b/>
          <w:sz w:val="28"/>
          <w:szCs w:val="28"/>
        </w:rPr>
      </w:pPr>
      <w:r>
        <w:rPr>
          <w:rFonts w:eastAsia="仿宋_GB2312;仿宋"/>
          <w:b/>
          <w:sz w:val="28"/>
          <w:szCs w:val="28"/>
        </w:rPr>
        <w:t>第七章</w:t>
      </w:r>
      <w:r>
        <w:rPr>
          <w:rFonts w:eastAsia="Times New Roman"/>
          <w:b/>
          <w:sz w:val="28"/>
          <w:szCs w:val="28"/>
        </w:rPr>
        <w:t xml:space="preserve">  </w:t>
      </w:r>
      <w:r>
        <w:rPr>
          <w:rFonts w:eastAsia="仿宋_GB2312;仿宋"/>
          <w:b/>
          <w:sz w:val="28"/>
          <w:szCs w:val="28"/>
        </w:rPr>
        <w:t>流动性风险管理</w:t>
      </w:r>
    </w:p>
    <w:p>
      <w:pPr>
        <w:pStyle w:val="Normal"/>
        <w:snapToGrid w:val="false"/>
        <w:spacing w:lineRule="auto" w:line="360"/>
        <w:ind w:firstLine="539" w:right="0"/>
        <w:rPr>
          <w:rFonts w:eastAsia="仿宋_GB2312;仿宋"/>
          <w:sz w:val="28"/>
          <w:szCs w:val="28"/>
        </w:rPr>
      </w:pPr>
      <w:r>
        <w:rPr>
          <w:rFonts w:eastAsia="仿宋_GB2312;仿宋"/>
          <w:b/>
          <w:sz w:val="28"/>
          <w:szCs w:val="28"/>
        </w:rPr>
        <w:t>第四十一条</w:t>
      </w:r>
      <w:r>
        <w:rPr>
          <w:rFonts w:eastAsia="仿宋_GB2312;仿宋"/>
          <w:sz w:val="28"/>
          <w:szCs w:val="28"/>
        </w:rPr>
        <w:t>　流动性风险管理是对各分支机构、各业务条线的流动性风险进行有效识别、计量、监测和控制</w:t>
      </w:r>
      <w:r>
        <w:rPr>
          <w:rFonts w:eastAsia="仿宋_GB2312;仿宋"/>
          <w:sz w:val="28"/>
          <w:szCs w:val="28"/>
        </w:rPr>
        <w:t xml:space="preserve">, </w:t>
      </w:r>
      <w:r>
        <w:rPr>
          <w:rFonts w:eastAsia="仿宋_GB2312;仿宋"/>
          <w:sz w:val="28"/>
          <w:szCs w:val="28"/>
        </w:rPr>
        <w:t>确保其以合理成本及时获得充足资金，用于偿付到期债务、履行其他支付义务和满足正常业务开展。</w:t>
      </w:r>
    </w:p>
    <w:p>
      <w:pPr>
        <w:pStyle w:val="Normal"/>
        <w:snapToGrid w:val="false"/>
        <w:spacing w:lineRule="auto" w:line="360"/>
        <w:ind w:firstLine="539" w:right="0"/>
        <w:rPr/>
      </w:pPr>
      <w:r>
        <w:rPr>
          <w:rFonts w:eastAsia="仿宋_GB2312;仿宋"/>
          <w:b/>
          <w:sz w:val="28"/>
          <w:szCs w:val="28"/>
        </w:rPr>
        <w:t>第四十二条</w:t>
      </w:r>
      <w:r>
        <w:rPr>
          <w:rFonts w:eastAsia="仿宋_GB2312;仿宋"/>
          <w:sz w:val="28"/>
          <w:szCs w:val="28"/>
        </w:rPr>
        <w:t>　流动性风险管理分为日常管理和应急管理。日常管理采取存量与流量管理相结合的方法；应急管理通过制定和实施应急方案来实现。</w:t>
      </w:r>
    </w:p>
    <w:p>
      <w:pPr>
        <w:pStyle w:val="Normal"/>
        <w:snapToGrid w:val="false"/>
        <w:spacing w:lineRule="auto" w:line="360"/>
        <w:ind w:firstLine="539" w:right="0"/>
        <w:rPr/>
      </w:pPr>
      <w:r>
        <w:rPr>
          <w:rFonts w:eastAsia="仿宋_GB2312;仿宋"/>
          <w:b/>
          <w:sz w:val="28"/>
          <w:szCs w:val="28"/>
        </w:rPr>
        <w:t>第四十三条</w:t>
      </w:r>
      <w:r>
        <w:rPr>
          <w:rFonts w:eastAsia="仿宋_GB2312;仿宋"/>
          <w:sz w:val="28"/>
          <w:szCs w:val="28"/>
        </w:rPr>
        <w:t>　流动性存量管理主要包括对流动性风险监管指标和借款限额的管理。</w:t>
      </w:r>
    </w:p>
    <w:p>
      <w:pPr>
        <w:pStyle w:val="Normal"/>
        <w:snapToGrid w:val="false"/>
        <w:spacing w:lineRule="auto" w:line="360"/>
        <w:ind w:firstLine="537" w:right="0"/>
        <w:rPr/>
      </w:pPr>
      <w:r>
        <w:rPr>
          <w:rFonts w:eastAsia="仿宋_GB2312;仿宋"/>
          <w:sz w:val="28"/>
          <w:szCs w:val="28"/>
        </w:rPr>
        <w:t>（一）流动性风险监管指标包括流动性覆盖率和流动性比例。流动性比例为流动性资产余额与流动性负债余额之比；流动性缺口率为</w:t>
      </w:r>
      <w:r>
        <w:rPr>
          <w:rFonts w:eastAsia="仿宋_GB2312;仿宋"/>
          <w:sz w:val="28"/>
          <w:szCs w:val="28"/>
        </w:rPr>
        <w:t>90</w:t>
      </w:r>
      <w:r>
        <w:rPr>
          <w:rFonts w:eastAsia="仿宋_GB2312;仿宋"/>
          <w:sz w:val="28"/>
          <w:szCs w:val="28"/>
        </w:rPr>
        <w:t>天内表内外流动性缺口与</w:t>
      </w:r>
      <w:r>
        <w:rPr>
          <w:rFonts w:eastAsia="仿宋_GB2312;仿宋"/>
          <w:sz w:val="28"/>
          <w:szCs w:val="28"/>
        </w:rPr>
        <w:t>90</w:t>
      </w:r>
      <w:r>
        <w:rPr>
          <w:rFonts w:eastAsia="仿宋_GB2312;仿宋"/>
          <w:sz w:val="28"/>
          <w:szCs w:val="28"/>
        </w:rPr>
        <w:t>天内到期表内外流动性资产之比；核心负债依存度为核心负债与负债总额之比；净稳定资金比率为可用的稳定资金与业务所需的稳定资金之比。</w:t>
      </w:r>
    </w:p>
    <w:p>
      <w:pPr>
        <w:pStyle w:val="Normal"/>
        <w:snapToGrid w:val="false"/>
        <w:spacing w:lineRule="auto" w:line="360"/>
        <w:ind w:firstLine="537" w:right="0"/>
        <w:rPr>
          <w:rFonts w:eastAsia="仿宋_GB2312;仿宋"/>
          <w:sz w:val="28"/>
          <w:szCs w:val="28"/>
        </w:rPr>
      </w:pPr>
      <w:r>
        <w:rPr>
          <w:rFonts w:eastAsia="仿宋_GB2312;仿宋"/>
          <w:sz w:val="28"/>
          <w:szCs w:val="28"/>
        </w:rPr>
        <w:t>（二）借款限额管理。借款限额由总行统一管理，通过有效控制本行对外部借款资金的依存度，来防范流动性风险。</w:t>
      </w:r>
    </w:p>
    <w:p>
      <w:pPr>
        <w:pStyle w:val="Normal"/>
        <w:snapToGrid w:val="false"/>
        <w:spacing w:lineRule="auto" w:line="360"/>
        <w:ind w:firstLine="537" w:right="0"/>
        <w:rPr/>
      </w:pPr>
      <w:r>
        <w:rPr>
          <w:rFonts w:eastAsia="仿宋_GB2312;仿宋"/>
          <w:sz w:val="28"/>
          <w:szCs w:val="28"/>
        </w:rPr>
        <w:t>1.</w:t>
      </w:r>
      <w:r>
        <w:rPr>
          <w:rFonts w:eastAsia="仿宋_GB2312;仿宋"/>
          <w:sz w:val="28"/>
          <w:szCs w:val="28"/>
        </w:rPr>
        <w:t>借款限额管理的范围是在本行范围内办理的所有同业借入资金，包括：同业拆入资金、正回购资金、人民银行再贷款和再贴现资金等，以及本行负有承诺兑付责任的其他业务。</w:t>
      </w:r>
    </w:p>
    <w:p>
      <w:pPr>
        <w:pStyle w:val="Normal"/>
        <w:snapToGrid w:val="false"/>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借款限额管理主要是对同业拆入比例、同业负债依存度、最大十家同业融资比例等指标设定限额，并根据本行资产负债运行状况和市场资金形势进行定期调整。</w:t>
      </w:r>
    </w:p>
    <w:p>
      <w:pPr>
        <w:pStyle w:val="Normal"/>
        <w:snapToGrid w:val="false"/>
        <w:spacing w:lineRule="auto" w:line="360"/>
        <w:ind w:firstLine="539" w:right="0"/>
        <w:rPr/>
      </w:pPr>
      <w:r>
        <w:rPr>
          <w:rFonts w:eastAsia="仿宋_GB2312;仿宋"/>
          <w:b/>
          <w:sz w:val="28"/>
          <w:szCs w:val="28"/>
        </w:rPr>
        <w:t>第四十四条</w:t>
      </w:r>
      <w:r>
        <w:rPr>
          <w:rFonts w:eastAsia="Times New Roman"/>
          <w:sz w:val="28"/>
          <w:szCs w:val="28"/>
        </w:rPr>
        <w:t xml:space="preserve">  </w:t>
      </w:r>
      <w:r>
        <w:rPr>
          <w:rFonts w:eastAsia="仿宋_GB2312;仿宋"/>
          <w:sz w:val="28"/>
          <w:szCs w:val="28"/>
        </w:rPr>
        <w:t>流动性流量管理主要包括对特定时段最大累计现金流出（简称“</w:t>
      </w:r>
      <w:r>
        <w:rPr>
          <w:rFonts w:eastAsia="仿宋_GB2312;仿宋"/>
          <w:sz w:val="28"/>
          <w:szCs w:val="28"/>
        </w:rPr>
        <w:t>MCO”</w:t>
      </w:r>
      <w:r>
        <w:rPr>
          <w:rFonts w:eastAsia="仿宋_GB2312;仿宋"/>
          <w:sz w:val="28"/>
          <w:szCs w:val="28"/>
        </w:rPr>
        <w:t>）和流动性缺口进行限额管理。本行</w:t>
      </w:r>
      <w:r>
        <w:rPr>
          <w:rFonts w:eastAsia="仿宋_GB2312;仿宋"/>
          <w:sz w:val="28"/>
          <w:szCs w:val="28"/>
        </w:rPr>
        <w:t>MCO</w:t>
      </w:r>
      <w:r>
        <w:rPr>
          <w:rFonts w:eastAsia="仿宋_GB2312;仿宋"/>
          <w:sz w:val="28"/>
          <w:szCs w:val="28"/>
        </w:rPr>
        <w:t>限额依据核定的借款限额和静态流动性缺口分析设定；流动性缺口限额参照历史经验数据设定。</w:t>
      </w:r>
    </w:p>
    <w:p>
      <w:pPr>
        <w:pStyle w:val="Normal"/>
        <w:snapToGrid w:val="false"/>
        <w:spacing w:lineRule="auto" w:line="360"/>
        <w:ind w:firstLine="539" w:right="0"/>
        <w:rPr/>
      </w:pPr>
      <w:r>
        <w:rPr>
          <w:rFonts w:eastAsia="仿宋_GB2312;仿宋"/>
          <w:b/>
          <w:sz w:val="28"/>
          <w:szCs w:val="28"/>
        </w:rPr>
        <w:t>第四十五条</w:t>
      </w:r>
      <w:r>
        <w:rPr>
          <w:rFonts w:eastAsia="Times New Roman"/>
          <w:b/>
          <w:sz w:val="28"/>
          <w:szCs w:val="28"/>
        </w:rPr>
        <w:t xml:space="preserve"> </w:t>
      </w:r>
      <w:r>
        <w:rPr>
          <w:rFonts w:eastAsia="Times New Roman"/>
          <w:sz w:val="28"/>
          <w:szCs w:val="28"/>
        </w:rPr>
        <w:t xml:space="preserve"> </w:t>
      </w:r>
      <w:r>
        <w:rPr>
          <w:rFonts w:eastAsia="仿宋_GB2312;仿宋"/>
          <w:sz w:val="28"/>
          <w:szCs w:val="28"/>
        </w:rPr>
        <w:t>流动性监测与监控。</w:t>
      </w:r>
    </w:p>
    <w:p>
      <w:pPr>
        <w:pStyle w:val="Normal"/>
        <w:snapToGrid w:val="false"/>
        <w:spacing w:lineRule="auto" w:line="360"/>
        <w:ind w:firstLine="537" w:right="0"/>
        <w:rPr>
          <w:rFonts w:eastAsia="仿宋_GB2312;仿宋"/>
          <w:sz w:val="28"/>
          <w:szCs w:val="28"/>
        </w:rPr>
      </w:pPr>
      <w:r>
        <w:rPr>
          <w:rFonts w:eastAsia="仿宋_GB2312;仿宋"/>
          <w:sz w:val="28"/>
          <w:szCs w:val="28"/>
        </w:rPr>
        <w:t>（一）计划财务部对流动性限额或指标实行“按日监测，及时调控，定期总结”。</w:t>
      </w:r>
    </w:p>
    <w:p>
      <w:pPr>
        <w:pStyle w:val="Normal"/>
        <w:snapToGrid w:val="false"/>
        <w:spacing w:lineRule="auto" w:line="360"/>
        <w:ind w:firstLine="537" w:right="0"/>
        <w:rPr/>
      </w:pPr>
      <w:r>
        <w:rPr>
          <w:rFonts w:eastAsia="仿宋_GB2312;仿宋"/>
          <w:sz w:val="28"/>
          <w:szCs w:val="28"/>
        </w:rPr>
        <w:t>（二）实施大额资金进出报告制度。</w:t>
      </w:r>
    </w:p>
    <w:p>
      <w:pPr>
        <w:pStyle w:val="Normal"/>
        <w:snapToGrid w:val="false"/>
        <w:spacing w:lineRule="auto" w:line="360"/>
        <w:ind w:firstLine="537" w:right="0"/>
        <w:rPr>
          <w:rFonts w:eastAsia="仿宋_GB2312;仿宋"/>
          <w:sz w:val="28"/>
          <w:szCs w:val="28"/>
        </w:rPr>
      </w:pPr>
      <w:r>
        <w:rPr>
          <w:rFonts w:eastAsia="仿宋_GB2312;仿宋"/>
          <w:sz w:val="28"/>
          <w:szCs w:val="28"/>
        </w:rPr>
        <w:t>大额资金进出报告制度是指对流动性管理影响较大的资金进出所规定的报告制度。总行根据资金备付能力，明确规定大额资金进出报告的最低额度和报告频率。</w:t>
      </w:r>
    </w:p>
    <w:p>
      <w:pPr>
        <w:pStyle w:val="Normal"/>
        <w:snapToGrid w:val="false"/>
        <w:spacing w:lineRule="auto" w:line="360"/>
        <w:ind w:firstLine="537" w:right="0"/>
        <w:rPr>
          <w:rFonts w:eastAsia="仿宋_GB2312;仿宋"/>
          <w:sz w:val="28"/>
          <w:szCs w:val="28"/>
        </w:rPr>
      </w:pPr>
      <w:r>
        <w:rPr>
          <w:rFonts w:eastAsia="仿宋_GB2312;仿宋"/>
          <w:sz w:val="28"/>
          <w:szCs w:val="28"/>
        </w:rPr>
        <w:t>（三）实施压力测试与报告制度。</w:t>
      </w:r>
    </w:p>
    <w:p>
      <w:pPr>
        <w:pStyle w:val="Normal"/>
        <w:snapToGrid w:val="false"/>
        <w:spacing w:lineRule="auto" w:line="360"/>
        <w:ind w:firstLine="537" w:right="0"/>
        <w:rPr>
          <w:rFonts w:eastAsia="仿宋_GB2312;仿宋"/>
          <w:sz w:val="28"/>
          <w:szCs w:val="28"/>
        </w:rPr>
      </w:pPr>
      <w:r>
        <w:rPr>
          <w:rFonts w:eastAsia="仿宋_GB2312;仿宋"/>
          <w:sz w:val="28"/>
          <w:szCs w:val="28"/>
        </w:rPr>
        <w:t>本行制定统一的流动性压力测试情景和假设，并动态调整，压力测试情景和假设的设定和重大调整由资产负债管理委员会审定。计划财务部负责对本行的流动性压力进行检测，并定期发布压力测试报告。各职能部门要根据压力测试报告，改善其流动性储备。</w:t>
      </w:r>
    </w:p>
    <w:p>
      <w:pPr>
        <w:pStyle w:val="Normal"/>
        <w:snapToGrid w:val="false"/>
        <w:spacing w:lineRule="auto" w:line="360"/>
        <w:ind w:firstLine="539" w:right="0"/>
        <w:rPr/>
      </w:pPr>
      <w:r>
        <w:rPr>
          <w:rFonts w:eastAsia="仿宋_GB2312;仿宋"/>
          <w:b/>
          <w:sz w:val="28"/>
          <w:szCs w:val="28"/>
        </w:rPr>
        <w:t>第四十六条</w:t>
      </w:r>
      <w:r>
        <w:rPr>
          <w:rFonts w:eastAsia="Times New Roman"/>
          <w:sz w:val="28"/>
          <w:szCs w:val="28"/>
        </w:rPr>
        <w:t xml:space="preserve">  </w:t>
      </w:r>
      <w:r>
        <w:rPr>
          <w:rFonts w:eastAsia="仿宋_GB2312;仿宋"/>
          <w:sz w:val="28"/>
          <w:szCs w:val="28"/>
        </w:rPr>
        <w:t>流动性应急管理。本行应建立完整的流动性应急机制和方案，应急机制和方案主要内容包括：</w:t>
      </w:r>
    </w:p>
    <w:p>
      <w:pPr>
        <w:pStyle w:val="Normal"/>
        <w:snapToGrid w:val="false"/>
        <w:spacing w:lineRule="auto" w:line="360"/>
        <w:ind w:firstLine="537" w:right="0"/>
        <w:rPr>
          <w:rFonts w:eastAsia="仿宋_GB2312;仿宋"/>
          <w:sz w:val="28"/>
          <w:szCs w:val="28"/>
        </w:rPr>
      </w:pPr>
      <w:r>
        <w:rPr>
          <w:rFonts w:eastAsia="仿宋_GB2312;仿宋"/>
          <w:sz w:val="28"/>
          <w:szCs w:val="28"/>
        </w:rPr>
        <w:t>（一）应急管理团队、沟通机制和工作流程。</w:t>
      </w:r>
    </w:p>
    <w:p>
      <w:pPr>
        <w:pStyle w:val="Normal"/>
        <w:snapToGrid w:val="false"/>
        <w:spacing w:lineRule="auto" w:line="360"/>
        <w:ind w:firstLine="537" w:right="0"/>
        <w:rPr>
          <w:rFonts w:eastAsia="仿宋_GB2312;仿宋"/>
          <w:sz w:val="28"/>
          <w:szCs w:val="28"/>
        </w:rPr>
      </w:pPr>
      <w:r>
        <w:rPr>
          <w:rFonts w:eastAsia="仿宋_GB2312;仿宋"/>
          <w:sz w:val="28"/>
          <w:szCs w:val="28"/>
        </w:rPr>
        <w:t>（二）应急方案类型。按照流动性压力程度从高到低，应急方案分为红色方案、橙色方案和黄色方案三个级别。红色方案是为预防和缓解极端情况下的流动性压力所制定的；橙色方案是为预防和改善流动性持续走低状况所制定的，流动性持续走低以流动性风险指标的实际值持续突破其监控值为衡量标准；黄色方案是为改善间断性流动性较差状况所制定的。</w:t>
      </w:r>
    </w:p>
    <w:p>
      <w:pPr>
        <w:pStyle w:val="Normal"/>
        <w:snapToGrid w:val="false"/>
        <w:spacing w:lineRule="auto" w:line="360"/>
        <w:ind w:firstLine="537" w:right="0"/>
        <w:rPr>
          <w:rFonts w:eastAsia="仿宋_GB2312;仿宋"/>
          <w:sz w:val="28"/>
          <w:szCs w:val="28"/>
        </w:rPr>
      </w:pPr>
      <w:r>
        <w:rPr>
          <w:rFonts w:eastAsia="仿宋_GB2312;仿宋"/>
          <w:sz w:val="28"/>
          <w:szCs w:val="28"/>
        </w:rPr>
        <w:t>（三）应急方案管理的主要内容。</w:t>
      </w:r>
    </w:p>
    <w:p>
      <w:pPr>
        <w:pStyle w:val="Normal"/>
        <w:snapToGrid w:val="false"/>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评估近期累计最大现金流出缺口；</w:t>
      </w:r>
    </w:p>
    <w:p>
      <w:pPr>
        <w:pStyle w:val="Normal"/>
        <w:snapToGrid w:val="false"/>
        <w:spacing w:lineRule="auto" w:line="360"/>
        <w:ind w:firstLine="537" w:right="0"/>
        <w:rPr/>
      </w:pPr>
      <w:r>
        <w:rPr>
          <w:rFonts w:eastAsia="仿宋_GB2312;仿宋"/>
          <w:sz w:val="28"/>
          <w:szCs w:val="28"/>
        </w:rPr>
        <w:t>2.</w:t>
      </w:r>
      <w:r>
        <w:rPr>
          <w:rFonts w:eastAsia="仿宋_GB2312;仿宋"/>
          <w:sz w:val="28"/>
          <w:szCs w:val="28"/>
        </w:rPr>
        <w:t>对目前资产变现能力、市场融资能力、获得央行支持的能力和存款资金筹集能力等进行分析和评估；</w:t>
      </w:r>
    </w:p>
    <w:p>
      <w:pPr>
        <w:pStyle w:val="Normal"/>
        <w:snapToGrid w:val="false"/>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通过以上评估和对今后的流动性压力进行假设，分别制定各级方案的预防和应急处理措施，包括：弥补缺口的各项措施和确定的资金来源及金额，阶段性流动性缺口的弥补方法和手段，对风险损失所采取的对冲策略和业务安排等。</w:t>
      </w:r>
    </w:p>
    <w:p>
      <w:pPr>
        <w:pStyle w:val="Normal"/>
        <w:snapToGrid w:val="false"/>
        <w:spacing w:lineRule="auto" w:line="360"/>
        <w:ind w:firstLine="537" w:right="0"/>
        <w:rPr>
          <w:rFonts w:eastAsia="仿宋_GB2312;仿宋"/>
          <w:sz w:val="28"/>
          <w:szCs w:val="28"/>
        </w:rPr>
      </w:pPr>
      <w:r>
        <w:rPr>
          <w:rFonts w:eastAsia="仿宋_GB2312;仿宋"/>
          <w:sz w:val="28"/>
          <w:szCs w:val="28"/>
        </w:rPr>
      </w:r>
    </w:p>
    <w:p>
      <w:pPr>
        <w:pStyle w:val="Normal"/>
        <w:spacing w:lineRule="auto" w:line="360"/>
        <w:jc w:val="center"/>
        <w:rPr>
          <w:b/>
          <w:color w:val="000000"/>
          <w:sz w:val="28"/>
          <w:szCs w:val="28"/>
        </w:rPr>
      </w:pPr>
      <w:r>
        <w:rPr>
          <w:rFonts w:eastAsia="仿宋_GB2312;仿宋"/>
          <w:b/>
          <w:color w:val="000000"/>
          <w:sz w:val="28"/>
          <w:szCs w:val="28"/>
        </w:rPr>
        <w:t>第八章</w:t>
      </w:r>
      <w:r>
        <w:rPr>
          <w:rFonts w:eastAsia="Times New Roman"/>
          <w:b/>
          <w:color w:val="000000"/>
          <w:sz w:val="28"/>
          <w:szCs w:val="28"/>
        </w:rPr>
        <w:t xml:space="preserve">  </w:t>
      </w:r>
      <w:r>
        <w:rPr>
          <w:rFonts w:eastAsia="仿宋_GB2312;仿宋"/>
          <w:b/>
          <w:color w:val="000000"/>
          <w:sz w:val="28"/>
          <w:szCs w:val="28"/>
        </w:rPr>
        <w:t>资产负债比例管理</w:t>
      </w:r>
    </w:p>
    <w:p>
      <w:pPr>
        <w:pStyle w:val="Normal"/>
        <w:spacing w:lineRule="auto" w:line="360"/>
        <w:ind w:firstLine="539" w:right="0"/>
        <w:rPr/>
      </w:pPr>
      <w:r>
        <w:rPr>
          <w:rFonts w:eastAsia="仿宋_GB2312;仿宋"/>
          <w:b/>
          <w:color w:val="000000"/>
          <w:sz w:val="28"/>
          <w:szCs w:val="28"/>
        </w:rPr>
        <w:t>第四十七条</w:t>
      </w:r>
      <w:r>
        <w:rPr>
          <w:rFonts w:eastAsia="Times New Roman"/>
          <w:color w:val="000000"/>
          <w:sz w:val="28"/>
          <w:szCs w:val="28"/>
        </w:rPr>
        <w:t xml:space="preserve">  </w:t>
      </w:r>
      <w:r>
        <w:rPr>
          <w:rFonts w:eastAsia="仿宋_GB2312;仿宋"/>
          <w:color w:val="000000"/>
          <w:sz w:val="28"/>
          <w:szCs w:val="28"/>
        </w:rPr>
        <w:t>本行整体监控指标体系：</w:t>
      </w:r>
    </w:p>
    <w:p>
      <w:pPr>
        <w:pStyle w:val="Normal"/>
        <w:spacing w:lineRule="auto" w:line="360"/>
        <w:ind w:firstLine="537" w:right="0"/>
        <w:rPr/>
      </w:pPr>
      <w:r>
        <w:rPr>
          <w:rFonts w:eastAsia="仿宋_GB2312;仿宋"/>
          <w:color w:val="000000"/>
          <w:sz w:val="28"/>
          <w:szCs w:val="28"/>
        </w:rPr>
        <w:t>为防范经营风险，建立以资本充足、资产质量、流动性和盈利能力为核心的指标体系，确定以下</w:t>
      </w:r>
      <w:r>
        <w:rPr>
          <w:rFonts w:eastAsia="仿宋_GB2312;仿宋"/>
          <w:sz w:val="28"/>
          <w:szCs w:val="28"/>
        </w:rPr>
        <w:t>二十五</w:t>
      </w:r>
      <w:r>
        <w:rPr>
          <w:rFonts w:eastAsia="仿宋_GB2312;仿宋"/>
          <w:color w:val="000000"/>
          <w:sz w:val="28"/>
          <w:szCs w:val="28"/>
        </w:rPr>
        <w:t>项指标为本行整体资产负债比例管理的监控指标，以全行为单位统一考核。</w:t>
      </w:r>
    </w:p>
    <w:p>
      <w:pPr>
        <w:pStyle w:val="Normal"/>
        <w:spacing w:lineRule="auto" w:line="360"/>
        <w:ind w:firstLine="537" w:right="0"/>
        <w:rPr>
          <w:rFonts w:eastAsia="仿宋_GB2312;仿宋"/>
          <w:sz w:val="28"/>
          <w:szCs w:val="28"/>
        </w:rPr>
      </w:pPr>
      <w:r>
        <w:rPr>
          <w:rFonts w:eastAsia="仿宋_GB2312;仿宋"/>
          <w:sz w:val="28"/>
          <w:szCs w:val="28"/>
        </w:rPr>
        <w:t>（一）资本状况指标</w:t>
      </w:r>
    </w:p>
    <w:p>
      <w:pPr>
        <w:pStyle w:val="Normal"/>
        <w:spacing w:lineRule="auto" w:line="360"/>
        <w:ind w:firstLine="537" w:right="0"/>
        <w:rPr/>
      </w:pPr>
      <w:r>
        <w:rPr>
          <w:rFonts w:eastAsia="仿宋_GB2312;仿宋"/>
          <w:sz w:val="28"/>
          <w:szCs w:val="28"/>
        </w:rPr>
        <w:t>1.</w:t>
      </w:r>
      <w:r>
        <w:rPr>
          <w:rFonts w:eastAsia="仿宋_GB2312;仿宋"/>
          <w:sz w:val="28"/>
          <w:szCs w:val="28"/>
        </w:rPr>
        <w:t>资本充足率，大于等于</w:t>
      </w:r>
      <w:r>
        <w:rPr>
          <w:rFonts w:eastAsia="仿宋_GB2312;仿宋"/>
          <w:sz w:val="28"/>
          <w:szCs w:val="28"/>
        </w:rPr>
        <w:t>10.5%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一级资本充足率，大于等于</w:t>
      </w:r>
      <w:r>
        <w:rPr>
          <w:rFonts w:eastAsia="仿宋_GB2312;仿宋"/>
          <w:sz w:val="28"/>
          <w:szCs w:val="28"/>
        </w:rPr>
        <w:t>8.5%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核心资本充足率，大于等于</w:t>
      </w:r>
      <w:r>
        <w:rPr>
          <w:rFonts w:eastAsia="仿宋_GB2312;仿宋"/>
          <w:sz w:val="28"/>
          <w:szCs w:val="28"/>
        </w:rPr>
        <w:t>7.5%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杠杆率，大于等于</w:t>
      </w:r>
      <w:r>
        <w:rPr>
          <w:rFonts w:eastAsia="仿宋_GB2312;仿宋"/>
          <w:sz w:val="28"/>
          <w:szCs w:val="28"/>
        </w:rPr>
        <w:t>4%</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资本状况指标相关公式：</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资本充足率</w:t>
      </w:r>
      <w:r>
        <w:rPr>
          <w:rFonts w:eastAsia="仿宋_GB2312;仿宋"/>
          <w:sz w:val="28"/>
          <w:szCs w:val="28"/>
        </w:rPr>
        <w:t>=</w:t>
      </w:r>
      <w:r>
        <w:rPr>
          <w:rFonts w:eastAsia="仿宋_GB2312;仿宋"/>
          <w:sz w:val="28"/>
          <w:szCs w:val="28"/>
        </w:rPr>
        <w:t>资本净额</w:t>
      </w:r>
      <w:r>
        <w:rPr>
          <w:rFonts w:eastAsia="仿宋_GB2312;仿宋"/>
          <w:sz w:val="28"/>
          <w:szCs w:val="28"/>
        </w:rPr>
        <w:t>÷</w:t>
      </w:r>
      <w:r>
        <w:rPr>
          <w:rFonts w:eastAsia="仿宋_GB2312;仿宋"/>
          <w:sz w:val="28"/>
          <w:szCs w:val="28"/>
        </w:rPr>
        <w:t>加权风险资产总额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一级资本充足率</w:t>
      </w:r>
      <w:r>
        <w:rPr>
          <w:rFonts w:eastAsia="仿宋_GB2312;仿宋"/>
          <w:sz w:val="28"/>
          <w:szCs w:val="28"/>
        </w:rPr>
        <w:t>=</w:t>
      </w:r>
      <w:r>
        <w:rPr>
          <w:rFonts w:eastAsia="仿宋_GB2312;仿宋"/>
          <w:sz w:val="28"/>
          <w:szCs w:val="28"/>
        </w:rPr>
        <w:t>一级资本净额</w:t>
      </w:r>
      <w:r>
        <w:rPr>
          <w:rFonts w:eastAsia="仿宋_GB2312;仿宋"/>
          <w:sz w:val="28"/>
          <w:szCs w:val="28"/>
        </w:rPr>
        <w:t>÷</w:t>
      </w:r>
      <w:r>
        <w:rPr>
          <w:rFonts w:eastAsia="仿宋_GB2312;仿宋"/>
          <w:sz w:val="28"/>
          <w:szCs w:val="28"/>
        </w:rPr>
        <w:t>加权风险资产总额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核心资本充足率</w:t>
      </w:r>
      <w:r>
        <w:rPr>
          <w:rFonts w:eastAsia="仿宋_GB2312;仿宋"/>
          <w:sz w:val="28"/>
          <w:szCs w:val="28"/>
        </w:rPr>
        <w:t>=</w:t>
      </w:r>
      <w:r>
        <w:rPr>
          <w:rFonts w:eastAsia="仿宋_GB2312;仿宋"/>
          <w:sz w:val="28"/>
          <w:szCs w:val="28"/>
        </w:rPr>
        <w:t>核心资本净额</w:t>
      </w:r>
      <w:r>
        <w:rPr>
          <w:rFonts w:eastAsia="仿宋_GB2312;仿宋"/>
          <w:sz w:val="28"/>
          <w:szCs w:val="28"/>
        </w:rPr>
        <w:t>÷</w:t>
      </w:r>
      <w:r>
        <w:rPr>
          <w:rFonts w:eastAsia="仿宋_GB2312;仿宋"/>
          <w:sz w:val="28"/>
          <w:szCs w:val="28"/>
        </w:rPr>
        <w:t>加权风险资产总额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杠杆率</w:t>
      </w:r>
      <w:r>
        <w:rPr>
          <w:rFonts w:eastAsia="仿宋_GB2312;仿宋"/>
          <w:sz w:val="28"/>
          <w:szCs w:val="28"/>
        </w:rPr>
        <w:t>=</w:t>
      </w:r>
      <w:r>
        <w:rPr>
          <w:rFonts w:eastAsia="仿宋_GB2312;仿宋"/>
          <w:sz w:val="28"/>
          <w:szCs w:val="28"/>
        </w:rPr>
        <w:t>一级资本净额</w:t>
      </w:r>
      <w:r>
        <w:rPr>
          <w:rFonts w:eastAsia="仿宋_GB2312;仿宋"/>
          <w:sz w:val="28"/>
          <w:szCs w:val="28"/>
        </w:rPr>
        <w:t>÷</w:t>
      </w:r>
      <w:r>
        <w:rPr>
          <w:rFonts w:eastAsia="仿宋_GB2312;仿宋"/>
          <w:sz w:val="28"/>
          <w:szCs w:val="28"/>
        </w:rPr>
        <w:t>（表内总资产</w:t>
      </w:r>
      <w:r>
        <w:rPr>
          <w:rFonts w:eastAsia="仿宋_GB2312;仿宋"/>
          <w:sz w:val="28"/>
          <w:szCs w:val="28"/>
        </w:rPr>
        <w:t>+</w:t>
      </w:r>
      <w:r>
        <w:rPr>
          <w:rFonts w:eastAsia="仿宋_GB2312;仿宋"/>
          <w:sz w:val="28"/>
          <w:szCs w:val="28"/>
        </w:rPr>
        <w:t>表外业务规模</w:t>
      </w:r>
      <w:r>
        <w:rPr>
          <w:rFonts w:eastAsia="仿宋_GB2312;仿宋"/>
          <w:sz w:val="28"/>
          <w:szCs w:val="28"/>
        </w:rPr>
        <w:t>+</w:t>
      </w:r>
      <w:r>
        <w:rPr>
          <w:rFonts w:eastAsia="仿宋_GB2312;仿宋"/>
          <w:sz w:val="28"/>
          <w:szCs w:val="28"/>
        </w:rPr>
        <w:t>衍生产品</w:t>
      </w:r>
      <w:r>
        <w:rPr>
          <w:rFonts w:eastAsia="仿宋_GB2312;仿宋"/>
          <w:sz w:val="28"/>
          <w:szCs w:val="28"/>
        </w:rPr>
        <w:t>-</w:t>
      </w:r>
      <w:r>
        <w:rPr>
          <w:rFonts w:eastAsia="仿宋_GB2312;仿宋"/>
          <w:sz w:val="28"/>
          <w:szCs w:val="28"/>
        </w:rPr>
        <w:t>一级资本扣减项）</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（二）信用风险指标</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不良贷款率，小于等于</w:t>
      </w:r>
      <w:r>
        <w:rPr>
          <w:rFonts w:eastAsia="仿宋_GB2312;仿宋"/>
          <w:sz w:val="28"/>
          <w:szCs w:val="28"/>
        </w:rPr>
        <w:t>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不良资产率，小于等于</w:t>
      </w:r>
      <w:r>
        <w:rPr>
          <w:rFonts w:eastAsia="仿宋_GB2312;仿宋"/>
          <w:sz w:val="28"/>
          <w:szCs w:val="28"/>
        </w:rPr>
        <w:t>4%</w:t>
      </w:r>
      <w:r>
        <w:rPr>
          <w:rFonts w:eastAsia="仿宋_GB2312;仿宋"/>
          <w:sz w:val="28"/>
          <w:szCs w:val="28"/>
        </w:rPr>
        <w:t>；</w:t>
      </w:r>
    </w:p>
    <w:p>
      <w:pPr>
        <w:pStyle w:val="Normal"/>
        <w:spacing w:lineRule="auto" w:line="360"/>
        <w:ind w:firstLine="537" w:right="0"/>
        <w:rPr/>
      </w:pPr>
      <w:r>
        <w:rPr>
          <w:rFonts w:eastAsia="仿宋_GB2312;仿宋"/>
          <w:sz w:val="28"/>
          <w:szCs w:val="28"/>
        </w:rPr>
        <w:t>3.</w:t>
      </w:r>
      <w:r>
        <w:rPr>
          <w:rFonts w:eastAsia="仿宋_GB2312;仿宋"/>
          <w:sz w:val="28"/>
          <w:szCs w:val="28"/>
        </w:rPr>
        <w:t>单一客户贷款集中度，小于等于</w:t>
      </w:r>
      <w:r>
        <w:rPr>
          <w:rFonts w:eastAsia="仿宋_GB2312;仿宋"/>
          <w:sz w:val="28"/>
          <w:szCs w:val="28"/>
        </w:rPr>
        <w:t>10%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单一集团客户授信集中度，小于等于</w:t>
      </w:r>
      <w:r>
        <w:rPr>
          <w:rFonts w:eastAsia="仿宋_GB2312;仿宋"/>
          <w:sz w:val="28"/>
          <w:szCs w:val="28"/>
        </w:rPr>
        <w:t>15%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全部关联度，小于等于</w:t>
      </w:r>
      <w:r>
        <w:rPr>
          <w:rFonts w:eastAsia="仿宋_GB2312;仿宋"/>
          <w:sz w:val="28"/>
          <w:szCs w:val="28"/>
        </w:rPr>
        <w:t>50%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信用风险（资产质量）相关公式：</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不良贷款率</w:t>
      </w:r>
      <w:r>
        <w:rPr>
          <w:rFonts w:eastAsia="仿宋_GB2312;仿宋"/>
          <w:sz w:val="28"/>
          <w:szCs w:val="28"/>
        </w:rPr>
        <w:t>=</w:t>
      </w:r>
      <w:r>
        <w:rPr>
          <w:rFonts w:eastAsia="仿宋_GB2312;仿宋"/>
          <w:sz w:val="28"/>
          <w:szCs w:val="28"/>
        </w:rPr>
        <w:t>五级分类后三类贷款余额</w:t>
      </w:r>
      <w:r>
        <w:rPr>
          <w:rFonts w:eastAsia="仿宋_GB2312;仿宋"/>
          <w:sz w:val="28"/>
          <w:szCs w:val="28"/>
        </w:rPr>
        <w:t>÷</w:t>
      </w:r>
      <w:r>
        <w:rPr>
          <w:rFonts w:eastAsia="仿宋_GB2312;仿宋"/>
          <w:sz w:val="28"/>
          <w:szCs w:val="28"/>
        </w:rPr>
        <w:t>各项贷款余额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不良资产率</w:t>
      </w:r>
      <w:r>
        <w:rPr>
          <w:rFonts w:eastAsia="仿宋_GB2312;仿宋"/>
          <w:sz w:val="28"/>
          <w:szCs w:val="28"/>
        </w:rPr>
        <w:t>=</w:t>
      </w:r>
      <w:r>
        <w:rPr>
          <w:rFonts w:eastAsia="仿宋_GB2312;仿宋"/>
          <w:sz w:val="28"/>
          <w:szCs w:val="28"/>
        </w:rPr>
        <w:t>不良资产额</w:t>
      </w:r>
      <w:r>
        <w:rPr>
          <w:rFonts w:eastAsia="仿宋_GB2312;仿宋"/>
          <w:sz w:val="28"/>
          <w:szCs w:val="28"/>
        </w:rPr>
        <w:t>÷</w:t>
      </w:r>
      <w:r>
        <w:rPr>
          <w:rFonts w:eastAsia="仿宋_GB2312;仿宋"/>
          <w:sz w:val="28"/>
          <w:szCs w:val="28"/>
        </w:rPr>
        <w:t>资产总额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．单一客户贷款集中度</w:t>
      </w:r>
      <w:r>
        <w:rPr>
          <w:rFonts w:eastAsia="仿宋_GB2312;仿宋"/>
          <w:sz w:val="28"/>
          <w:szCs w:val="28"/>
        </w:rPr>
        <w:t>=</w:t>
      </w:r>
      <w:r>
        <w:rPr>
          <w:rFonts w:eastAsia="仿宋_GB2312;仿宋"/>
          <w:sz w:val="28"/>
          <w:szCs w:val="28"/>
        </w:rPr>
        <w:t>最大一家客户贷款总额</w:t>
      </w:r>
      <w:r>
        <w:rPr>
          <w:rFonts w:eastAsia="仿宋_GB2312;仿宋"/>
          <w:sz w:val="28"/>
          <w:szCs w:val="28"/>
        </w:rPr>
        <w:t>÷</w:t>
      </w:r>
      <w:r>
        <w:rPr>
          <w:rFonts w:eastAsia="仿宋_GB2312;仿宋"/>
          <w:sz w:val="28"/>
          <w:szCs w:val="28"/>
        </w:rPr>
        <w:t>资本净额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单一集团客户授信集中度</w:t>
      </w:r>
      <w:r>
        <w:rPr>
          <w:rFonts w:eastAsia="仿宋_GB2312;仿宋"/>
          <w:sz w:val="28"/>
          <w:szCs w:val="28"/>
        </w:rPr>
        <w:t>=</w:t>
      </w:r>
      <w:r>
        <w:rPr>
          <w:rFonts w:eastAsia="仿宋_GB2312;仿宋"/>
          <w:sz w:val="28"/>
          <w:szCs w:val="28"/>
        </w:rPr>
        <w:t>最大一家集团客户授信净额</w:t>
      </w:r>
      <w:r>
        <w:rPr>
          <w:rFonts w:eastAsia="仿宋_GB2312;仿宋"/>
          <w:sz w:val="28"/>
          <w:szCs w:val="28"/>
        </w:rPr>
        <w:t>÷</w:t>
      </w:r>
      <w:r>
        <w:rPr>
          <w:rFonts w:eastAsia="仿宋_GB2312;仿宋"/>
          <w:sz w:val="28"/>
          <w:szCs w:val="28"/>
        </w:rPr>
        <w:t>资本净额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全部关联度</w:t>
      </w:r>
      <w:r>
        <w:rPr>
          <w:rFonts w:eastAsia="仿宋_GB2312;仿宋"/>
          <w:sz w:val="28"/>
          <w:szCs w:val="28"/>
        </w:rPr>
        <w:t>=</w:t>
      </w:r>
      <w:r>
        <w:rPr>
          <w:rFonts w:eastAsia="仿宋_GB2312;仿宋"/>
          <w:sz w:val="28"/>
          <w:szCs w:val="28"/>
        </w:rPr>
        <w:t>全部关联方授信总额</w:t>
      </w:r>
      <w:r>
        <w:rPr>
          <w:rFonts w:eastAsia="仿宋_GB2312;仿宋"/>
          <w:sz w:val="28"/>
          <w:szCs w:val="28"/>
        </w:rPr>
        <w:t>÷</w:t>
      </w:r>
      <w:r>
        <w:rPr>
          <w:rFonts w:eastAsia="仿宋_GB2312;仿宋"/>
          <w:sz w:val="28"/>
          <w:szCs w:val="28"/>
        </w:rPr>
        <w:t>资本净额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（三）拨备指标</w:t>
      </w:r>
    </w:p>
    <w:p>
      <w:pPr>
        <w:pStyle w:val="Normal"/>
        <w:spacing w:lineRule="auto" w:line="360"/>
        <w:ind w:firstLine="537" w:right="0"/>
        <w:rPr/>
      </w:pPr>
      <w:r>
        <w:rPr>
          <w:rFonts w:eastAsia="仿宋_GB2312;仿宋"/>
          <w:sz w:val="28"/>
          <w:szCs w:val="28"/>
        </w:rPr>
        <w:t>1.</w:t>
      </w:r>
      <w:r>
        <w:rPr>
          <w:rFonts w:eastAsia="仿宋_GB2312;仿宋"/>
          <w:sz w:val="28"/>
          <w:szCs w:val="28"/>
        </w:rPr>
        <w:t>不良贷款拨备覆盖率，大于等于</w:t>
      </w:r>
      <w:r>
        <w:rPr>
          <w:rFonts w:eastAsia="仿宋_GB2312;仿宋"/>
          <w:sz w:val="28"/>
          <w:szCs w:val="28"/>
        </w:rPr>
        <w:t>150%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贷款拨备比，大于等于</w:t>
      </w:r>
      <w:r>
        <w:rPr>
          <w:rFonts w:eastAsia="仿宋_GB2312;仿宋"/>
          <w:sz w:val="28"/>
          <w:szCs w:val="28"/>
        </w:rPr>
        <w:t>2.5%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拨备指标相关公式：</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不良贷款拨备覆盖率</w:t>
      </w:r>
      <w:r>
        <w:rPr>
          <w:rFonts w:eastAsia="仿宋_GB2312;仿宋"/>
          <w:sz w:val="28"/>
          <w:szCs w:val="28"/>
        </w:rPr>
        <w:t>=</w:t>
      </w:r>
      <w:r>
        <w:rPr>
          <w:rFonts w:eastAsia="仿宋_GB2312;仿宋"/>
          <w:sz w:val="28"/>
          <w:szCs w:val="28"/>
        </w:rPr>
        <w:t>贷款损失准备</w:t>
      </w:r>
      <w:r>
        <w:rPr>
          <w:rFonts w:eastAsia="仿宋_GB2312;仿宋"/>
          <w:sz w:val="28"/>
          <w:szCs w:val="28"/>
        </w:rPr>
        <w:t>÷</w:t>
      </w:r>
      <w:r>
        <w:rPr>
          <w:rFonts w:eastAsia="仿宋_GB2312;仿宋"/>
          <w:sz w:val="28"/>
          <w:szCs w:val="28"/>
        </w:rPr>
        <w:t>不良贷款余额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贷款拨备比</w:t>
      </w:r>
      <w:r>
        <w:rPr>
          <w:rFonts w:eastAsia="仿宋_GB2312;仿宋"/>
          <w:sz w:val="28"/>
          <w:szCs w:val="28"/>
        </w:rPr>
        <w:t>=</w:t>
      </w:r>
      <w:r>
        <w:rPr>
          <w:rFonts w:eastAsia="仿宋_GB2312;仿宋"/>
          <w:sz w:val="28"/>
          <w:szCs w:val="28"/>
        </w:rPr>
        <w:t>贷款损失准备</w:t>
      </w:r>
      <w:r>
        <w:rPr>
          <w:rFonts w:eastAsia="仿宋_GB2312;仿宋"/>
          <w:sz w:val="28"/>
          <w:szCs w:val="28"/>
        </w:rPr>
        <w:t>÷</w:t>
      </w:r>
      <w:r>
        <w:rPr>
          <w:rFonts w:eastAsia="仿宋_GB2312;仿宋"/>
          <w:sz w:val="28"/>
          <w:szCs w:val="28"/>
        </w:rPr>
        <w:t>各项贷款余额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（四）流动性指标</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存贷款比例，小于等于</w:t>
      </w:r>
      <w:r>
        <w:rPr>
          <w:rFonts w:eastAsia="仿宋_GB2312;仿宋"/>
          <w:sz w:val="28"/>
          <w:szCs w:val="28"/>
        </w:rPr>
        <w:t>75%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流动性比例，大于等于</w:t>
      </w:r>
      <w:r>
        <w:rPr>
          <w:rFonts w:eastAsia="仿宋_GB2312;仿宋"/>
          <w:sz w:val="28"/>
          <w:szCs w:val="28"/>
        </w:rPr>
        <w:t>25%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净稳定融资比例，大于等于</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核心负债依存度，大于等于</w:t>
      </w:r>
      <w:r>
        <w:rPr>
          <w:rFonts w:eastAsia="仿宋_GB2312;仿宋"/>
          <w:sz w:val="28"/>
          <w:szCs w:val="28"/>
        </w:rPr>
        <w:t>60%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流动性缺口率，大于等于</w:t>
      </w:r>
      <w:r>
        <w:rPr>
          <w:rFonts w:eastAsia="仿宋_GB2312;仿宋"/>
          <w:sz w:val="28"/>
          <w:szCs w:val="28"/>
        </w:rPr>
        <w:t>-10%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6.</w:t>
      </w:r>
      <w:r>
        <w:rPr>
          <w:rFonts w:eastAsia="仿宋_GB2312;仿宋"/>
          <w:sz w:val="28"/>
          <w:szCs w:val="28"/>
        </w:rPr>
        <w:t>同业市场负债依存度，不高于</w:t>
      </w:r>
      <w:r>
        <w:rPr>
          <w:rFonts w:eastAsia="仿宋_GB2312;仿宋"/>
          <w:sz w:val="28"/>
          <w:szCs w:val="28"/>
        </w:rPr>
        <w:t>20%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流动性指标相关公式：</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存贷款比例</w:t>
      </w:r>
      <w:r>
        <w:rPr>
          <w:rFonts w:eastAsia="仿宋_GB2312;仿宋"/>
          <w:sz w:val="28"/>
          <w:szCs w:val="28"/>
        </w:rPr>
        <w:t>=</w:t>
      </w:r>
      <w:r>
        <w:rPr>
          <w:rFonts w:eastAsia="仿宋_GB2312;仿宋"/>
          <w:sz w:val="28"/>
          <w:szCs w:val="28"/>
        </w:rPr>
        <w:t>各项贷款余额</w:t>
      </w:r>
      <w:r>
        <w:rPr>
          <w:rFonts w:eastAsia="仿宋_GB2312;仿宋"/>
          <w:sz w:val="28"/>
          <w:szCs w:val="28"/>
        </w:rPr>
        <w:t>÷</w:t>
      </w:r>
      <w:r>
        <w:rPr>
          <w:rFonts w:eastAsia="仿宋_GB2312;仿宋"/>
          <w:sz w:val="28"/>
          <w:szCs w:val="28"/>
        </w:rPr>
        <w:t>各项存款余额</w:t>
      </w:r>
      <w:r>
        <w:rPr>
          <w:rFonts w:eastAsia="仿宋_GB2312;仿宋"/>
          <w:sz w:val="28"/>
          <w:szCs w:val="28"/>
        </w:rPr>
        <w:t>×100%</w:t>
      </w:r>
      <w:r>
        <w:rPr>
          <w:rFonts w:eastAsia="仿宋_GB2312;仿宋"/>
          <w:sz w:val="28"/>
          <w:szCs w:val="28"/>
        </w:rPr>
        <w:t>；</w:t>
      </w:r>
    </w:p>
    <w:p>
      <w:pPr>
        <w:pStyle w:val="Normal"/>
        <w:spacing w:lineRule="auto" w:line="360"/>
        <w:ind w:firstLine="537" w:right="0"/>
        <w:rPr/>
      </w:pPr>
      <w:r>
        <w:rPr>
          <w:rFonts w:eastAsia="仿宋_GB2312;仿宋"/>
          <w:sz w:val="28"/>
          <w:szCs w:val="28"/>
        </w:rPr>
        <w:t>2.</w:t>
      </w:r>
      <w:r>
        <w:rPr>
          <w:rFonts w:eastAsia="仿宋_GB2312;仿宋"/>
          <w:sz w:val="28"/>
          <w:szCs w:val="28"/>
        </w:rPr>
        <w:t>流动性比例</w:t>
      </w:r>
      <w:r>
        <w:rPr>
          <w:rFonts w:eastAsia="仿宋_GB2312;仿宋"/>
          <w:sz w:val="28"/>
          <w:szCs w:val="28"/>
        </w:rPr>
        <w:t>=</w:t>
      </w:r>
      <w:r>
        <w:rPr>
          <w:rFonts w:eastAsia="仿宋_GB2312;仿宋"/>
          <w:sz w:val="28"/>
          <w:szCs w:val="28"/>
        </w:rPr>
        <w:t>流动性资产</w:t>
      </w:r>
      <w:r>
        <w:rPr>
          <w:rFonts w:eastAsia="仿宋_GB2312;仿宋"/>
          <w:sz w:val="28"/>
          <w:szCs w:val="28"/>
        </w:rPr>
        <w:t>÷</w:t>
      </w:r>
      <w:r>
        <w:rPr>
          <w:rFonts w:eastAsia="仿宋_GB2312;仿宋"/>
          <w:sz w:val="28"/>
          <w:szCs w:val="28"/>
        </w:rPr>
        <w:t>流动性负债</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净稳定融资比例</w:t>
      </w:r>
      <w:r>
        <w:rPr>
          <w:rFonts w:eastAsia="仿宋_GB2312;仿宋"/>
          <w:sz w:val="28"/>
          <w:szCs w:val="28"/>
        </w:rPr>
        <w:t>=</w:t>
      </w:r>
      <w:r>
        <w:rPr>
          <w:rFonts w:eastAsia="仿宋_GB2312;仿宋"/>
          <w:sz w:val="28"/>
          <w:szCs w:val="28"/>
        </w:rPr>
        <w:t>可用的稳定资金</w:t>
      </w:r>
      <w:r>
        <w:rPr>
          <w:rFonts w:eastAsia="仿宋_GB2312;仿宋"/>
          <w:sz w:val="28"/>
          <w:szCs w:val="28"/>
        </w:rPr>
        <w:t>÷</w:t>
      </w:r>
      <w:r>
        <w:rPr>
          <w:rFonts w:eastAsia="仿宋_GB2312;仿宋"/>
          <w:sz w:val="28"/>
          <w:szCs w:val="28"/>
        </w:rPr>
        <w:t>业务所需的稳定资金</w:t>
      </w:r>
      <w:r>
        <w:rPr>
          <w:rFonts w:eastAsia="仿宋_GB2312;仿宋"/>
          <w:sz w:val="28"/>
          <w:szCs w:val="28"/>
        </w:rPr>
        <w:t>×100%</w:t>
      </w:r>
      <w:r>
        <w:rPr>
          <w:rFonts w:eastAsia="仿宋_GB2312;仿宋"/>
          <w:sz w:val="28"/>
          <w:szCs w:val="28"/>
        </w:rPr>
        <w:t>；</w:t>
      </w:r>
    </w:p>
    <w:p>
      <w:pPr>
        <w:pStyle w:val="Normal"/>
        <w:spacing w:lineRule="auto" w:line="360"/>
        <w:ind w:left="593" w:right="0"/>
        <w:rPr>
          <w:rFonts w:eastAsia="仿宋_GB2312;仿宋"/>
          <w:sz w:val="28"/>
          <w:szCs w:val="28"/>
        </w:rPr>
      </w:pPr>
      <w:r>
        <w:rPr>
          <w:rFonts w:eastAsia="仿宋_GB2312;仿宋"/>
          <w:sz w:val="28"/>
          <w:szCs w:val="28"/>
        </w:rPr>
        <w:t>4.</w:t>
      </w:r>
      <w:r>
        <w:rPr>
          <w:rFonts w:eastAsia="仿宋_GB2312;仿宋"/>
          <w:sz w:val="28"/>
          <w:szCs w:val="28"/>
        </w:rPr>
        <w:t>核心负债依存度</w:t>
      </w:r>
      <w:r>
        <w:rPr>
          <w:rFonts w:eastAsia="仿宋_GB2312;仿宋"/>
          <w:sz w:val="28"/>
          <w:szCs w:val="28"/>
        </w:rPr>
        <w:t>=</w:t>
      </w:r>
      <w:r>
        <w:rPr>
          <w:rFonts w:eastAsia="仿宋_GB2312;仿宋"/>
          <w:sz w:val="28"/>
          <w:szCs w:val="28"/>
        </w:rPr>
        <w:t>（剩余期限三个月以上的定期存款</w:t>
      </w:r>
      <w:r>
        <w:rPr>
          <w:rFonts w:eastAsia="仿宋_GB2312;仿宋"/>
          <w:sz w:val="28"/>
          <w:szCs w:val="28"/>
        </w:rPr>
        <w:t>+</w:t>
      </w:r>
      <w:r>
        <w:rPr>
          <w:rFonts w:eastAsia="仿宋_GB2312;仿宋"/>
          <w:sz w:val="28"/>
          <w:szCs w:val="28"/>
        </w:rPr>
        <w:t>已发行债券</w:t>
      </w:r>
      <w:r>
        <w:rPr>
          <w:rFonts w:eastAsia="仿宋_GB2312;仿宋"/>
          <w:sz w:val="28"/>
          <w:szCs w:val="28"/>
        </w:rPr>
        <w:t>+</w:t>
      </w:r>
      <w:r>
        <w:rPr>
          <w:rFonts w:eastAsia="仿宋_GB2312;仿宋"/>
          <w:sz w:val="28"/>
          <w:szCs w:val="28"/>
        </w:rPr>
        <w:t>活期存款的</w:t>
      </w:r>
      <w:r>
        <w:rPr>
          <w:rFonts w:eastAsia="仿宋_GB2312;仿宋"/>
          <w:sz w:val="28"/>
          <w:szCs w:val="28"/>
        </w:rPr>
        <w:t>50%</w:t>
      </w:r>
      <w:r>
        <w:rPr>
          <w:rFonts w:eastAsia="仿宋_GB2312;仿宋"/>
          <w:sz w:val="28"/>
          <w:szCs w:val="28"/>
        </w:rPr>
        <w:t>）</w:t>
      </w:r>
      <w:r>
        <w:rPr>
          <w:rFonts w:eastAsia="仿宋_GB2312;仿宋"/>
          <w:sz w:val="28"/>
          <w:szCs w:val="28"/>
        </w:rPr>
        <w:t>÷</w:t>
      </w:r>
      <w:r>
        <w:rPr>
          <w:rFonts w:eastAsia="仿宋_GB2312;仿宋"/>
          <w:sz w:val="28"/>
          <w:szCs w:val="28"/>
        </w:rPr>
        <w:t>负债总额</w:t>
      </w:r>
      <w:r>
        <w:rPr>
          <w:rFonts w:eastAsia="仿宋_GB2312;仿宋"/>
          <w:sz w:val="28"/>
          <w:szCs w:val="28"/>
        </w:rPr>
        <w:t>×100%</w:t>
      </w:r>
      <w:r>
        <w:rPr>
          <w:rFonts w:eastAsia="仿宋_GB2312;仿宋"/>
          <w:sz w:val="28"/>
          <w:szCs w:val="28"/>
        </w:rPr>
        <w:t>；</w:t>
      </w:r>
    </w:p>
    <w:p>
      <w:pPr>
        <w:pStyle w:val="Normal"/>
        <w:spacing w:lineRule="auto" w:line="360"/>
        <w:ind w:left="593" w:right="0"/>
        <w:rPr>
          <w:rFonts w:eastAsia="仿宋_GB2312;仿宋"/>
          <w:sz w:val="28"/>
          <w:szCs w:val="28"/>
        </w:rPr>
      </w:pPr>
      <w:r>
        <w:rPr>
          <w:rFonts w:eastAsia="仿宋_GB2312;仿宋"/>
          <w:sz w:val="28"/>
          <w:szCs w:val="28"/>
        </w:rPr>
        <w:t>5.</w:t>
      </w:r>
      <w:r>
        <w:rPr>
          <w:rFonts w:eastAsia="仿宋_GB2312;仿宋"/>
          <w:sz w:val="28"/>
          <w:szCs w:val="28"/>
        </w:rPr>
        <w:t>流动性缺口率</w:t>
      </w:r>
      <w:r>
        <w:rPr>
          <w:rFonts w:eastAsia="仿宋_GB2312;仿宋"/>
          <w:sz w:val="28"/>
          <w:szCs w:val="28"/>
        </w:rPr>
        <w:t>=</w:t>
      </w:r>
      <w:r>
        <w:rPr>
          <w:rFonts w:eastAsia="仿宋_GB2312;仿宋"/>
          <w:sz w:val="28"/>
          <w:szCs w:val="28"/>
        </w:rPr>
        <w:t>（</w:t>
      </w:r>
      <w:r>
        <w:rPr>
          <w:rFonts w:eastAsia="仿宋_GB2312;仿宋"/>
          <w:sz w:val="28"/>
          <w:szCs w:val="28"/>
        </w:rPr>
        <w:t>90</w:t>
      </w:r>
      <w:r>
        <w:rPr>
          <w:rFonts w:eastAsia="仿宋_GB2312;仿宋"/>
          <w:sz w:val="28"/>
          <w:szCs w:val="28"/>
        </w:rPr>
        <w:t>天内到期的表内外资产</w:t>
      </w:r>
      <w:r>
        <w:rPr>
          <w:rFonts w:eastAsia="仿宋_GB2312;仿宋"/>
          <w:sz w:val="28"/>
          <w:szCs w:val="28"/>
        </w:rPr>
        <w:t>-90</w:t>
      </w:r>
      <w:r>
        <w:rPr>
          <w:rFonts w:eastAsia="仿宋_GB2312;仿宋"/>
          <w:sz w:val="28"/>
          <w:szCs w:val="28"/>
        </w:rPr>
        <w:t>天内到期的表内外负债）</w:t>
      </w:r>
      <w:r>
        <w:rPr>
          <w:rFonts w:eastAsia="仿宋_GB2312;仿宋"/>
          <w:sz w:val="28"/>
          <w:szCs w:val="28"/>
        </w:rPr>
        <w:t>÷90</w:t>
      </w:r>
      <w:r>
        <w:rPr>
          <w:rFonts w:eastAsia="仿宋_GB2312;仿宋"/>
          <w:sz w:val="28"/>
          <w:szCs w:val="28"/>
        </w:rPr>
        <w:t>天内到期表内外资产；</w:t>
      </w:r>
    </w:p>
    <w:p>
      <w:pPr>
        <w:pStyle w:val="Normal"/>
        <w:spacing w:lineRule="auto" w:line="360"/>
        <w:ind w:firstLine="537" w:right="0"/>
        <w:rPr>
          <w:rFonts w:eastAsia="仿宋_GB2312;仿宋"/>
          <w:sz w:val="28"/>
          <w:szCs w:val="28"/>
        </w:rPr>
      </w:pPr>
      <w:r>
        <w:rPr>
          <w:rFonts w:eastAsia="仿宋_GB2312;仿宋"/>
          <w:sz w:val="28"/>
          <w:szCs w:val="28"/>
        </w:rPr>
        <w:t>6.</w:t>
      </w:r>
      <w:r>
        <w:rPr>
          <w:rFonts w:eastAsia="仿宋_GB2312;仿宋"/>
          <w:sz w:val="28"/>
          <w:szCs w:val="28"/>
        </w:rPr>
        <w:t>同业市场负债依存度</w:t>
      </w:r>
      <w:r>
        <w:rPr>
          <w:rFonts w:eastAsia="仿宋_GB2312;仿宋"/>
          <w:sz w:val="28"/>
          <w:szCs w:val="28"/>
        </w:rPr>
        <w:t>=</w:t>
      </w:r>
      <w:r>
        <w:rPr>
          <w:rFonts w:eastAsia="仿宋_GB2312;仿宋"/>
          <w:sz w:val="28"/>
          <w:szCs w:val="28"/>
        </w:rPr>
        <w:t>同业市场负债</w:t>
      </w:r>
      <w:r>
        <w:rPr>
          <w:rFonts w:eastAsia="仿宋_GB2312;仿宋"/>
          <w:sz w:val="28"/>
          <w:szCs w:val="28"/>
        </w:rPr>
        <w:t>÷</w:t>
      </w:r>
      <w:r>
        <w:rPr>
          <w:rFonts w:eastAsia="仿宋_GB2312;仿宋"/>
          <w:sz w:val="28"/>
          <w:szCs w:val="28"/>
        </w:rPr>
        <w:t>各项存款余额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（五）盈利能力指标</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资产利润率，大于等于</w:t>
      </w:r>
      <w:r>
        <w:rPr>
          <w:rFonts w:eastAsia="仿宋_GB2312;仿宋"/>
          <w:sz w:val="28"/>
          <w:szCs w:val="28"/>
        </w:rPr>
        <w:t>0.6%</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资本利润率，大于等于</w:t>
      </w:r>
      <w:r>
        <w:rPr>
          <w:rFonts w:eastAsia="仿宋_GB2312;仿宋"/>
          <w:sz w:val="28"/>
          <w:szCs w:val="28"/>
        </w:rPr>
        <w:t>11%</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成本收入比，小于等于</w:t>
      </w:r>
      <w:r>
        <w:rPr>
          <w:rFonts w:eastAsia="仿宋_GB2312;仿宋"/>
          <w:sz w:val="28"/>
          <w:szCs w:val="28"/>
        </w:rPr>
        <w:t>45%</w:t>
      </w:r>
      <w:r>
        <w:rPr>
          <w:rFonts w:eastAsia="仿宋_GB2312;仿宋"/>
          <w:sz w:val="28"/>
          <w:szCs w:val="28"/>
        </w:rPr>
        <w:t>；</w:t>
      </w:r>
    </w:p>
    <w:p>
      <w:pPr>
        <w:pStyle w:val="Normal"/>
        <w:spacing w:lineRule="auto" w:line="360"/>
        <w:ind w:firstLine="537" w:right="0"/>
        <w:rPr/>
      </w:pPr>
      <w:r>
        <w:rPr>
          <w:rFonts w:eastAsia="仿宋_GB2312;仿宋"/>
          <w:sz w:val="28"/>
          <w:szCs w:val="28"/>
        </w:rPr>
        <w:t>盈利能力指标相关公式：</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资产利润率</w:t>
      </w:r>
      <w:r>
        <w:rPr>
          <w:rFonts w:eastAsia="仿宋_GB2312;仿宋"/>
          <w:sz w:val="28"/>
          <w:szCs w:val="28"/>
        </w:rPr>
        <w:t>=</w:t>
      </w:r>
      <w:r>
        <w:rPr>
          <w:rFonts w:eastAsia="仿宋_GB2312;仿宋"/>
          <w:sz w:val="28"/>
          <w:szCs w:val="28"/>
        </w:rPr>
        <w:t>当期税后利润</w:t>
      </w:r>
      <w:r>
        <w:rPr>
          <w:rFonts w:eastAsia="仿宋_GB2312;仿宋"/>
          <w:sz w:val="28"/>
          <w:szCs w:val="28"/>
        </w:rPr>
        <w:t>÷</w:t>
      </w:r>
      <w:r>
        <w:rPr>
          <w:rFonts w:eastAsia="仿宋_GB2312;仿宋"/>
          <w:sz w:val="28"/>
          <w:szCs w:val="28"/>
        </w:rPr>
        <w:t>资产平均余额</w:t>
      </w:r>
      <w:r>
        <w:rPr>
          <w:rFonts w:eastAsia="仿宋_GB2312;仿宋"/>
          <w:sz w:val="28"/>
          <w:szCs w:val="28"/>
        </w:rPr>
        <w:t>×</w:t>
      </w:r>
      <w:r>
        <w:rPr>
          <w:rFonts w:eastAsia="仿宋_GB2312;仿宋"/>
          <w:sz w:val="28"/>
          <w:szCs w:val="28"/>
        </w:rPr>
        <w:t>折年系数</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rPr>
      </w:pPr>
      <w:r>
        <w:rPr>
          <w:rFonts w:eastAsia="仿宋_GB2312;仿宋"/>
          <w:sz w:val="28"/>
          <w:szCs w:val="28"/>
        </w:rPr>
        <w:t>2.</w:t>
      </w:r>
      <w:r>
        <w:rPr>
          <w:rFonts w:eastAsia="仿宋_GB2312;仿宋"/>
          <w:sz w:val="28"/>
          <w:szCs w:val="28"/>
        </w:rPr>
        <w:t>资本利润率</w:t>
      </w:r>
      <w:r>
        <w:rPr>
          <w:rFonts w:eastAsia="仿宋_GB2312;仿宋"/>
          <w:sz w:val="28"/>
          <w:szCs w:val="28"/>
        </w:rPr>
        <w:t>=</w:t>
      </w:r>
      <w:r>
        <w:rPr>
          <w:rFonts w:eastAsia="仿宋_GB2312;仿宋"/>
          <w:sz w:val="28"/>
          <w:szCs w:val="28"/>
        </w:rPr>
        <w:t>当期税后利润</w:t>
      </w:r>
      <w:r>
        <w:rPr>
          <w:rFonts w:eastAsia="仿宋_GB2312;仿宋"/>
          <w:sz w:val="28"/>
          <w:szCs w:val="28"/>
        </w:rPr>
        <w:t>÷</w:t>
      </w:r>
      <w:r>
        <w:rPr>
          <w:rFonts w:eastAsia="仿宋_GB2312;仿宋"/>
          <w:sz w:val="28"/>
          <w:szCs w:val="28"/>
        </w:rPr>
        <w:t>所有者权益平均余额</w:t>
      </w:r>
      <w:r>
        <w:rPr>
          <w:rFonts w:eastAsia="仿宋_GB2312;仿宋"/>
          <w:sz w:val="28"/>
          <w:szCs w:val="28"/>
        </w:rPr>
        <w:t>×</w:t>
      </w:r>
      <w:r>
        <w:rPr>
          <w:rFonts w:eastAsia="仿宋_GB2312;仿宋"/>
          <w:sz w:val="28"/>
          <w:szCs w:val="28"/>
        </w:rPr>
        <w:t>折年系数</w:t>
      </w:r>
      <w:r>
        <w:rPr>
          <w:rFonts w:eastAsia="仿宋_GB2312;仿宋"/>
          <w:sz w:val="28"/>
          <w:szCs w:val="28"/>
        </w:rPr>
        <w:t>×100%</w:t>
      </w:r>
      <w:r>
        <w:rPr>
          <w:rFonts w:eastAsia="仿宋_GB2312;仿宋"/>
          <w:sz w:val="28"/>
          <w:szCs w:val="28"/>
        </w:rPr>
        <w:t>；</w:t>
      </w:r>
      <w:r>
        <w:rPr>
          <w:rFonts w:eastAsia="Times New Roman"/>
          <w:sz w:val="28"/>
          <w:szCs w:val="28"/>
        </w:rPr>
        <w:t xml:space="preserve"> </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成本收入比</w:t>
      </w:r>
      <w:r>
        <w:rPr>
          <w:rFonts w:eastAsia="仿宋_GB2312;仿宋"/>
          <w:sz w:val="28"/>
          <w:szCs w:val="28"/>
        </w:rPr>
        <w:t>=</w:t>
      </w:r>
      <w:r>
        <w:rPr>
          <w:rFonts w:eastAsia="仿宋_GB2312;仿宋"/>
          <w:sz w:val="28"/>
          <w:szCs w:val="28"/>
        </w:rPr>
        <w:t>（营业支出</w:t>
      </w:r>
      <w:r>
        <w:rPr>
          <w:rFonts w:eastAsia="仿宋_GB2312;仿宋"/>
          <w:sz w:val="28"/>
          <w:szCs w:val="28"/>
        </w:rPr>
        <w:t>-</w:t>
      </w:r>
      <w:r>
        <w:rPr>
          <w:rFonts w:eastAsia="仿宋_GB2312;仿宋"/>
          <w:sz w:val="28"/>
          <w:szCs w:val="28"/>
        </w:rPr>
        <w:t>营业税金及附加）</w:t>
      </w:r>
      <w:r>
        <w:rPr>
          <w:rFonts w:eastAsia="仿宋_GB2312;仿宋"/>
          <w:sz w:val="28"/>
          <w:szCs w:val="28"/>
        </w:rPr>
        <w:t>÷</w:t>
      </w:r>
      <w:r>
        <w:rPr>
          <w:rFonts w:eastAsia="仿宋_GB2312;仿宋"/>
          <w:sz w:val="28"/>
          <w:szCs w:val="28"/>
        </w:rPr>
        <w:t>营业净收入</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营业净收入</w:t>
      </w:r>
      <w:r>
        <w:rPr>
          <w:rFonts w:eastAsia="仿宋_GB2312;仿宋"/>
          <w:sz w:val="28"/>
          <w:szCs w:val="28"/>
        </w:rPr>
        <w:t>=</w:t>
      </w:r>
      <w:r>
        <w:rPr>
          <w:rFonts w:eastAsia="仿宋_GB2312;仿宋"/>
          <w:sz w:val="28"/>
          <w:szCs w:val="28"/>
        </w:rPr>
        <w:t>（贷款利息收入</w:t>
      </w:r>
      <w:r>
        <w:rPr>
          <w:rFonts w:eastAsia="仿宋_GB2312;仿宋"/>
          <w:sz w:val="28"/>
          <w:szCs w:val="28"/>
        </w:rPr>
        <w:t>-</w:t>
      </w:r>
      <w:r>
        <w:rPr>
          <w:rFonts w:eastAsia="仿宋_GB2312;仿宋"/>
          <w:sz w:val="28"/>
          <w:szCs w:val="28"/>
        </w:rPr>
        <w:t>存款利息支出）</w:t>
      </w:r>
      <w:r>
        <w:rPr>
          <w:rFonts w:eastAsia="仿宋_GB2312;仿宋"/>
          <w:sz w:val="28"/>
          <w:szCs w:val="28"/>
        </w:rPr>
        <w:t>+</w:t>
      </w:r>
      <w:r>
        <w:rPr>
          <w:rFonts w:eastAsia="仿宋_GB2312;仿宋"/>
          <w:sz w:val="28"/>
          <w:szCs w:val="28"/>
        </w:rPr>
        <w:t>金融机构往来利息净收入</w:t>
      </w:r>
      <w:r>
        <w:rPr>
          <w:rFonts w:eastAsia="仿宋_GB2312;仿宋"/>
          <w:sz w:val="28"/>
          <w:szCs w:val="28"/>
        </w:rPr>
        <w:t>+</w:t>
      </w:r>
      <w:r>
        <w:rPr>
          <w:rFonts w:eastAsia="仿宋_GB2312;仿宋"/>
          <w:sz w:val="28"/>
          <w:szCs w:val="28"/>
        </w:rPr>
        <w:t>其他利息净收入</w:t>
      </w:r>
      <w:r>
        <w:rPr>
          <w:rFonts w:eastAsia="仿宋_GB2312;仿宋"/>
          <w:sz w:val="28"/>
          <w:szCs w:val="28"/>
        </w:rPr>
        <w:t>+</w:t>
      </w:r>
      <w:r>
        <w:rPr>
          <w:rFonts w:eastAsia="仿宋_GB2312;仿宋"/>
          <w:sz w:val="28"/>
          <w:szCs w:val="28"/>
        </w:rPr>
        <w:t>手续费及佣金净收入</w:t>
      </w:r>
      <w:r>
        <w:rPr>
          <w:rFonts w:eastAsia="仿宋_GB2312;仿宋"/>
          <w:sz w:val="28"/>
          <w:szCs w:val="28"/>
        </w:rPr>
        <w:t>+</w:t>
      </w:r>
      <w:r>
        <w:rPr>
          <w:rFonts w:eastAsia="仿宋_GB2312;仿宋"/>
          <w:sz w:val="28"/>
          <w:szCs w:val="28"/>
        </w:rPr>
        <w:t>其他业务净收入</w:t>
      </w:r>
      <w:r>
        <w:rPr>
          <w:rFonts w:eastAsia="仿宋_GB2312;仿宋"/>
          <w:sz w:val="28"/>
          <w:szCs w:val="28"/>
        </w:rPr>
        <w:t>+</w:t>
      </w:r>
      <w:r>
        <w:rPr>
          <w:rFonts w:eastAsia="仿宋_GB2312;仿宋"/>
          <w:sz w:val="28"/>
          <w:szCs w:val="28"/>
        </w:rPr>
        <w:t>投资收益。</w:t>
      </w:r>
    </w:p>
    <w:p>
      <w:pPr>
        <w:pStyle w:val="Normal"/>
        <w:spacing w:lineRule="auto" w:line="360"/>
        <w:ind w:firstLine="537" w:right="0"/>
        <w:rPr>
          <w:rFonts w:eastAsia="仿宋_GB2312;仿宋"/>
          <w:sz w:val="28"/>
          <w:szCs w:val="28"/>
        </w:rPr>
      </w:pPr>
      <w:r>
        <w:rPr>
          <w:rFonts w:eastAsia="仿宋_GB2312;仿宋"/>
          <w:sz w:val="28"/>
          <w:szCs w:val="28"/>
        </w:rPr>
        <w:t>（六）业务发展与经营效益指标</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净收入费用率，小于</w:t>
      </w:r>
      <w:r>
        <w:rPr>
          <w:rFonts w:eastAsia="仿宋_GB2312;仿宋"/>
          <w:sz w:val="28"/>
          <w:szCs w:val="28"/>
        </w:rPr>
        <w:t>35%</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人均存款额，大于等于</w:t>
      </w:r>
      <w:r>
        <w:rPr>
          <w:rFonts w:eastAsia="仿宋_GB2312;仿宋"/>
          <w:sz w:val="28"/>
          <w:szCs w:val="28"/>
        </w:rPr>
        <w:t>3000</w:t>
      </w:r>
      <w:r>
        <w:rPr>
          <w:rFonts w:eastAsia="仿宋_GB2312;仿宋"/>
          <w:sz w:val="28"/>
          <w:szCs w:val="28"/>
        </w:rPr>
        <w:t>万元；</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人均金融增加值，大于等于</w:t>
      </w:r>
      <w:r>
        <w:rPr>
          <w:rFonts w:eastAsia="仿宋_GB2312;仿宋"/>
          <w:sz w:val="28"/>
          <w:szCs w:val="28"/>
        </w:rPr>
        <w:t>90</w:t>
      </w:r>
      <w:r>
        <w:rPr>
          <w:rFonts w:eastAsia="仿宋_GB2312;仿宋"/>
          <w:sz w:val="28"/>
          <w:szCs w:val="28"/>
        </w:rPr>
        <w:t>万元；</w:t>
      </w:r>
    </w:p>
    <w:p>
      <w:pPr>
        <w:pStyle w:val="Normal"/>
        <w:spacing w:lineRule="auto" w:line="360"/>
        <w:ind w:firstLine="537" w:right="0"/>
        <w:rPr/>
      </w:pPr>
      <w:r>
        <w:rPr>
          <w:rFonts w:eastAsia="仿宋_GB2312;仿宋"/>
          <w:sz w:val="28"/>
          <w:szCs w:val="28"/>
        </w:rPr>
        <w:t>4.</w:t>
      </w:r>
      <w:r>
        <w:rPr>
          <w:rFonts w:eastAsia="仿宋_GB2312;仿宋"/>
          <w:sz w:val="28"/>
          <w:szCs w:val="28"/>
        </w:rPr>
        <w:t>净资产占比，</w:t>
      </w:r>
      <w:r>
        <w:rPr>
          <w:rFonts w:eastAsia="仿宋_GB2312;仿宋"/>
          <w:sz w:val="28"/>
          <w:szCs w:val="28"/>
        </w:rPr>
        <w:t>10%</w:t>
      </w:r>
      <w:r>
        <w:rPr>
          <w:rFonts w:eastAsia="仿宋_GB2312;仿宋"/>
          <w:sz w:val="28"/>
          <w:szCs w:val="28"/>
        </w:rPr>
        <w:t>以上；</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每股净资产，</w:t>
      </w:r>
      <w:r>
        <w:rPr>
          <w:rFonts w:eastAsia="仿宋_GB2312;仿宋"/>
          <w:sz w:val="28"/>
          <w:szCs w:val="28"/>
        </w:rPr>
        <w:t>2.5</w:t>
      </w:r>
      <w:r>
        <w:rPr>
          <w:rFonts w:eastAsia="仿宋_GB2312;仿宋"/>
          <w:sz w:val="28"/>
          <w:szCs w:val="28"/>
        </w:rPr>
        <w:t>元以上。</w:t>
      </w:r>
    </w:p>
    <w:p>
      <w:pPr>
        <w:pStyle w:val="Normal"/>
        <w:spacing w:lineRule="auto" w:line="360"/>
        <w:ind w:firstLine="537" w:right="0"/>
        <w:rPr>
          <w:rFonts w:eastAsia="仿宋_GB2312;仿宋"/>
          <w:sz w:val="28"/>
          <w:szCs w:val="28"/>
        </w:rPr>
      </w:pPr>
      <w:r>
        <w:rPr>
          <w:rFonts w:eastAsia="仿宋_GB2312;仿宋"/>
          <w:sz w:val="28"/>
          <w:szCs w:val="28"/>
        </w:rPr>
        <w:t>业务发展与经营效益指标相关公式：</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净收入费用率</w:t>
      </w:r>
      <w:r>
        <w:rPr>
          <w:rFonts w:eastAsia="仿宋_GB2312;仿宋"/>
          <w:sz w:val="28"/>
          <w:szCs w:val="28"/>
        </w:rPr>
        <w:t>=</w:t>
      </w:r>
      <w:r>
        <w:rPr>
          <w:rFonts w:eastAsia="仿宋_GB2312;仿宋"/>
          <w:sz w:val="28"/>
          <w:szCs w:val="28"/>
        </w:rPr>
        <w:t>业务及管理费</w:t>
      </w:r>
      <w:r>
        <w:rPr>
          <w:rFonts w:eastAsia="仿宋_GB2312;仿宋"/>
          <w:sz w:val="28"/>
          <w:szCs w:val="28"/>
        </w:rPr>
        <w:t>÷</w:t>
      </w:r>
      <w:r>
        <w:rPr>
          <w:rFonts w:eastAsia="仿宋_GB2312;仿宋"/>
          <w:sz w:val="28"/>
          <w:szCs w:val="28"/>
        </w:rPr>
        <w:t>净收入</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人均存款额</w:t>
      </w:r>
      <w:r>
        <w:rPr>
          <w:rFonts w:eastAsia="仿宋_GB2312;仿宋"/>
          <w:sz w:val="28"/>
          <w:szCs w:val="28"/>
        </w:rPr>
        <w:t>=</w:t>
      </w:r>
      <w:r>
        <w:rPr>
          <w:rFonts w:eastAsia="仿宋_GB2312;仿宋"/>
          <w:sz w:val="28"/>
          <w:szCs w:val="28"/>
        </w:rPr>
        <w:t>年末各项存款日均余额</w:t>
      </w:r>
      <w:r>
        <w:rPr>
          <w:rFonts w:eastAsia="仿宋_GB2312;仿宋"/>
          <w:sz w:val="28"/>
          <w:szCs w:val="28"/>
        </w:rPr>
        <w:t>÷</w:t>
      </w:r>
      <w:r>
        <w:rPr>
          <w:rFonts w:eastAsia="仿宋_GB2312;仿宋"/>
          <w:sz w:val="28"/>
          <w:szCs w:val="28"/>
        </w:rPr>
        <w:t>员工总人数按季平均数；</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人均金融增加值</w:t>
      </w:r>
      <w:r>
        <w:rPr>
          <w:rFonts w:eastAsia="仿宋_GB2312;仿宋"/>
          <w:sz w:val="28"/>
          <w:szCs w:val="28"/>
        </w:rPr>
        <w:t>=</w:t>
      </w:r>
      <w:r>
        <w:rPr>
          <w:rFonts w:eastAsia="仿宋_GB2312;仿宋"/>
          <w:sz w:val="28"/>
          <w:szCs w:val="28"/>
        </w:rPr>
        <w:t>金融增加值</w:t>
      </w:r>
      <w:r>
        <w:rPr>
          <w:rFonts w:eastAsia="仿宋_GB2312;仿宋"/>
          <w:sz w:val="28"/>
          <w:szCs w:val="28"/>
        </w:rPr>
        <w:t>÷</w:t>
      </w:r>
      <w:r>
        <w:rPr>
          <w:rFonts w:eastAsia="仿宋_GB2312;仿宋"/>
          <w:sz w:val="28"/>
          <w:szCs w:val="28"/>
        </w:rPr>
        <w:t>员工总人数；</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净资产占比</w:t>
      </w:r>
      <w:r>
        <w:rPr>
          <w:rFonts w:eastAsia="仿宋_GB2312;仿宋"/>
          <w:sz w:val="28"/>
          <w:szCs w:val="28"/>
        </w:rPr>
        <w:t>=</w:t>
      </w:r>
      <w:r>
        <w:rPr>
          <w:rFonts w:eastAsia="仿宋_GB2312;仿宋"/>
          <w:sz w:val="28"/>
          <w:szCs w:val="28"/>
        </w:rPr>
        <w:t>（净资产</w:t>
      </w:r>
      <w:r>
        <w:rPr>
          <w:rFonts w:eastAsia="仿宋_GB2312;仿宋"/>
          <w:sz w:val="28"/>
          <w:szCs w:val="28"/>
        </w:rPr>
        <w:t>÷</w:t>
      </w:r>
      <w:r>
        <w:rPr>
          <w:rFonts w:eastAsia="仿宋_GB2312;仿宋"/>
          <w:sz w:val="28"/>
          <w:szCs w:val="28"/>
        </w:rPr>
        <w:t>年末应用资本底线之后的风险加权资产余额）</w:t>
      </w:r>
      <w:r>
        <w:rPr>
          <w:rFonts w:eastAsia="仿宋_GB2312;仿宋"/>
          <w:sz w:val="28"/>
          <w:szCs w:val="28"/>
        </w:rPr>
        <w:t>×100%</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每股净资产</w:t>
      </w:r>
      <w:r>
        <w:rPr>
          <w:rFonts w:eastAsia="仿宋_GB2312;仿宋"/>
          <w:sz w:val="28"/>
          <w:szCs w:val="28"/>
        </w:rPr>
        <w:t>=</w:t>
      </w:r>
      <w:r>
        <w:rPr>
          <w:rFonts w:eastAsia="仿宋_GB2312;仿宋"/>
          <w:sz w:val="28"/>
          <w:szCs w:val="28"/>
        </w:rPr>
        <w:t>（年末资产</w:t>
      </w:r>
      <w:r>
        <w:rPr>
          <w:rFonts w:eastAsia="仿宋_GB2312;仿宋"/>
          <w:sz w:val="28"/>
          <w:szCs w:val="28"/>
        </w:rPr>
        <w:t>-</w:t>
      </w:r>
      <w:r>
        <w:rPr>
          <w:rFonts w:eastAsia="仿宋_GB2312;仿宋"/>
          <w:sz w:val="28"/>
          <w:szCs w:val="28"/>
        </w:rPr>
        <w:t>本年度溢价发行收入总额）</w:t>
      </w:r>
      <w:r>
        <w:rPr>
          <w:rFonts w:eastAsia="仿宋_GB2312;仿宋"/>
          <w:sz w:val="28"/>
          <w:szCs w:val="28"/>
        </w:rPr>
        <w:t>÷</w:t>
      </w:r>
      <w:r>
        <w:rPr>
          <w:rFonts w:eastAsia="仿宋_GB2312;仿宋"/>
          <w:sz w:val="28"/>
          <w:szCs w:val="28"/>
        </w:rPr>
        <w:t>股本金</w:t>
      </w:r>
      <w:r>
        <w:rPr>
          <w:rFonts w:eastAsia="仿宋_GB2312;仿宋"/>
          <w:sz w:val="28"/>
          <w:szCs w:val="28"/>
        </w:rPr>
        <w:t>12</w:t>
      </w:r>
      <w:r>
        <w:rPr>
          <w:rFonts w:eastAsia="仿宋_GB2312;仿宋"/>
          <w:sz w:val="28"/>
          <w:szCs w:val="28"/>
        </w:rPr>
        <w:t>个月月均余额。</w:t>
      </w:r>
    </w:p>
    <w:p>
      <w:pPr>
        <w:pStyle w:val="Normal"/>
        <w:spacing w:lineRule="auto" w:line="360"/>
        <w:ind w:firstLine="539" w:right="0"/>
        <w:rPr/>
      </w:pPr>
      <w:r>
        <w:rPr>
          <w:rFonts w:eastAsia="仿宋_GB2312;仿宋"/>
          <w:b/>
          <w:sz w:val="28"/>
          <w:szCs w:val="28"/>
        </w:rPr>
        <w:t>第四十八条</w:t>
      </w:r>
      <w:r>
        <w:rPr>
          <w:rFonts w:eastAsia="Times New Roman"/>
          <w:sz w:val="28"/>
          <w:szCs w:val="28"/>
        </w:rPr>
        <w:t xml:space="preserve">  </w:t>
      </w:r>
      <w:r>
        <w:rPr>
          <w:rFonts w:eastAsia="仿宋_GB2312;仿宋"/>
          <w:sz w:val="28"/>
          <w:szCs w:val="28"/>
        </w:rPr>
        <w:t>支行资产负债比例管理指标：四级分类不良贷款、五级分类不良贷款、涉农贷款“两个高于”、小微企业贷款“两个不低于”、抵质押贷款比例、不良贷款清收等指标。资产负债管理委员会每年可对支行资产负债比例管理指标项目和评分方法进行调整。</w:t>
      </w:r>
    </w:p>
    <w:p>
      <w:pPr>
        <w:pStyle w:val="Normal"/>
        <w:spacing w:lineRule="auto" w:line="360"/>
        <w:ind w:firstLine="537" w:right="0"/>
        <w:rPr>
          <w:rFonts w:eastAsia="仿宋_GB2312;仿宋"/>
        </w:rPr>
      </w:pPr>
      <w:r>
        <w:rPr>
          <w:rFonts w:eastAsia="Times New Roman"/>
          <w:sz w:val="28"/>
          <w:szCs w:val="28"/>
        </w:rPr>
        <w:t xml:space="preserve">            </w:t>
      </w:r>
    </w:p>
    <w:p>
      <w:pPr>
        <w:pStyle w:val="Normal"/>
        <w:spacing w:lineRule="auto" w:line="360"/>
        <w:jc w:val="center"/>
        <w:rPr>
          <w:b/>
          <w:color w:val="000000"/>
          <w:sz w:val="28"/>
          <w:szCs w:val="28"/>
        </w:rPr>
      </w:pPr>
      <w:r>
        <w:rPr>
          <w:rFonts w:eastAsia="仿宋_GB2312;仿宋"/>
          <w:b/>
          <w:color w:val="000000"/>
          <w:sz w:val="28"/>
          <w:szCs w:val="28"/>
        </w:rPr>
        <w:t>第九章</w:t>
      </w:r>
      <w:r>
        <w:rPr>
          <w:rFonts w:eastAsia="Times New Roman"/>
          <w:b/>
          <w:color w:val="000000"/>
          <w:sz w:val="28"/>
          <w:szCs w:val="28"/>
        </w:rPr>
        <w:t xml:space="preserve">  </w:t>
      </w:r>
      <w:r>
        <w:rPr>
          <w:rFonts w:eastAsia="仿宋_GB2312;仿宋"/>
          <w:b/>
          <w:color w:val="000000"/>
          <w:sz w:val="28"/>
          <w:szCs w:val="28"/>
        </w:rPr>
        <w:t>监控管理措施</w:t>
      </w:r>
    </w:p>
    <w:p>
      <w:pPr>
        <w:pStyle w:val="Normal"/>
        <w:spacing w:lineRule="auto" w:line="360"/>
        <w:ind w:firstLine="539" w:right="0"/>
        <w:rPr/>
      </w:pPr>
      <w:r>
        <w:rPr>
          <w:rFonts w:eastAsia="仿宋_GB2312;仿宋"/>
          <w:b/>
          <w:color w:val="000000"/>
          <w:sz w:val="28"/>
          <w:szCs w:val="28"/>
        </w:rPr>
        <w:t>第四十九条</w:t>
      </w:r>
      <w:r>
        <w:rPr>
          <w:rFonts w:eastAsia="Times New Roman"/>
          <w:color w:val="000000"/>
          <w:sz w:val="28"/>
          <w:szCs w:val="28"/>
        </w:rPr>
        <w:t xml:space="preserve">  </w:t>
      </w:r>
      <w:r>
        <w:rPr>
          <w:rFonts w:eastAsia="仿宋_GB2312;仿宋"/>
          <w:color w:val="000000"/>
          <w:sz w:val="28"/>
          <w:szCs w:val="28"/>
        </w:rPr>
        <w:t>资产负债管理监控由总行统一领导，统一口径，按月或按季监控。</w:t>
      </w:r>
    </w:p>
    <w:p>
      <w:pPr>
        <w:pStyle w:val="Normal"/>
        <w:spacing w:lineRule="auto" w:line="360"/>
        <w:ind w:firstLine="539" w:right="0"/>
        <w:rPr/>
      </w:pPr>
      <w:r>
        <w:rPr>
          <w:rFonts w:eastAsia="仿宋_GB2312;仿宋"/>
          <w:b/>
          <w:color w:val="000000"/>
          <w:sz w:val="28"/>
          <w:szCs w:val="28"/>
        </w:rPr>
        <w:t>第五十条</w:t>
      </w:r>
      <w:r>
        <w:rPr>
          <w:rFonts w:eastAsia="Times New Roman"/>
          <w:color w:val="000000"/>
          <w:sz w:val="28"/>
          <w:szCs w:val="28"/>
        </w:rPr>
        <w:t xml:space="preserve">  </w:t>
      </w:r>
      <w:r>
        <w:rPr>
          <w:rFonts w:eastAsia="仿宋_GB2312;仿宋"/>
          <w:color w:val="000000"/>
          <w:sz w:val="28"/>
          <w:szCs w:val="28"/>
        </w:rPr>
        <w:t>监控管理的程序：本行整体监控指标由总行资产负债管理委员会负责，各支行管理指标由总行职能部门管理。</w:t>
      </w:r>
    </w:p>
    <w:p>
      <w:pPr>
        <w:pStyle w:val="Normal"/>
        <w:spacing w:lineRule="auto" w:line="360"/>
        <w:ind w:firstLine="539" w:right="0"/>
        <w:rPr/>
      </w:pPr>
      <w:r>
        <w:rPr>
          <w:rFonts w:eastAsia="仿宋_GB2312;仿宋"/>
          <w:b/>
          <w:color w:val="000000"/>
          <w:sz w:val="28"/>
          <w:szCs w:val="28"/>
        </w:rPr>
        <w:t>第五十一条</w:t>
      </w:r>
      <w:r>
        <w:rPr>
          <w:rFonts w:eastAsia="Times New Roman"/>
          <w:color w:val="000000"/>
          <w:sz w:val="28"/>
          <w:szCs w:val="28"/>
        </w:rPr>
        <w:t xml:space="preserve">  </w:t>
      </w:r>
      <w:r>
        <w:rPr>
          <w:rFonts w:eastAsia="仿宋_GB2312;仿宋"/>
          <w:color w:val="000000"/>
          <w:sz w:val="28"/>
          <w:szCs w:val="28"/>
        </w:rPr>
        <w:t>总行相关职能部门要按照总行制定的比例管理指标口径和统计制度认真监控本行的指标执行情况，真正起到预警和防范经营风险的作用。达到预警值时应向资产负债管理委员会主要领导报告，并及时采取有效措施限期改进；对触发容忍底线的，各相关职能部门将进行联动处理，采取上收业务审批权限、暂停办理部分业务等措施进行调控，确保各项业务科学发展。</w:t>
      </w:r>
    </w:p>
    <w:p>
      <w:pPr>
        <w:pStyle w:val="Normal"/>
        <w:spacing w:lineRule="auto" w:line="360"/>
        <w:ind w:firstLine="539" w:right="0"/>
        <w:rPr>
          <w:rFonts w:eastAsia="仿宋_GB2312;仿宋"/>
          <w:sz w:val="28"/>
          <w:szCs w:val="28"/>
        </w:rPr>
      </w:pPr>
      <w:r>
        <w:rPr>
          <w:rFonts w:eastAsia="仿宋_GB2312;仿宋"/>
          <w:b/>
          <w:color w:val="000000"/>
          <w:sz w:val="28"/>
          <w:szCs w:val="28"/>
        </w:rPr>
        <w:t>第五十二条</w:t>
      </w:r>
      <w:r>
        <w:rPr>
          <w:rFonts w:eastAsia="Times New Roman"/>
          <w:color w:val="000000"/>
          <w:sz w:val="28"/>
          <w:szCs w:val="28"/>
        </w:rPr>
        <w:t xml:space="preserve">  </w:t>
      </w:r>
      <w:r>
        <w:rPr>
          <w:rFonts w:eastAsia="仿宋_GB2312;仿宋"/>
          <w:color w:val="000000"/>
          <w:sz w:val="28"/>
          <w:szCs w:val="28"/>
        </w:rPr>
        <w:t>计划财务部门按季对资产负债比例管理指标执行提交资产负债管理委员会。</w:t>
      </w:r>
    </w:p>
    <w:p>
      <w:pPr>
        <w:pStyle w:val="Normal"/>
        <w:spacing w:lineRule="auto" w:line="360"/>
        <w:ind w:firstLine="537" w:right="0"/>
        <w:jc w:val="center"/>
        <w:rPr>
          <w:rFonts w:eastAsia="仿宋_GB2312;仿宋"/>
          <w:color w:val="000000"/>
          <w:sz w:val="28"/>
          <w:szCs w:val="28"/>
        </w:rPr>
      </w:pPr>
      <w:r>
        <w:rPr>
          <w:rFonts w:eastAsia="仿宋_GB2312;仿宋"/>
          <w:color w:val="000000"/>
          <w:sz w:val="28"/>
          <w:szCs w:val="28"/>
        </w:rPr>
      </w:r>
    </w:p>
    <w:p>
      <w:pPr>
        <w:pStyle w:val="Normal"/>
        <w:spacing w:lineRule="auto" w:line="360"/>
        <w:jc w:val="center"/>
        <w:rPr>
          <w:rFonts w:eastAsia="仿宋_GB2312;仿宋"/>
        </w:rPr>
      </w:pPr>
      <w:r>
        <w:rPr>
          <w:rFonts w:eastAsia="仿宋_GB2312;仿宋"/>
          <w:b/>
          <w:color w:val="000000"/>
          <w:sz w:val="28"/>
          <w:szCs w:val="28"/>
        </w:rPr>
        <w:t>第十章</w:t>
      </w:r>
      <w:r>
        <w:rPr>
          <w:rFonts w:eastAsia="Times New Roman"/>
          <w:b/>
          <w:color w:val="000000"/>
          <w:sz w:val="28"/>
          <w:szCs w:val="28"/>
        </w:rPr>
        <w:t xml:space="preserve">  </w:t>
      </w:r>
      <w:r>
        <w:rPr>
          <w:rFonts w:eastAsia="仿宋_GB2312;仿宋"/>
          <w:b/>
          <w:color w:val="000000"/>
          <w:sz w:val="28"/>
          <w:szCs w:val="28"/>
        </w:rPr>
        <w:t>附</w:t>
      </w:r>
      <w:r>
        <w:rPr>
          <w:rFonts w:eastAsia="Times New Roman"/>
          <w:b/>
          <w:color w:val="000000"/>
          <w:sz w:val="28"/>
          <w:szCs w:val="28"/>
        </w:rPr>
        <w:t xml:space="preserve"> </w:t>
      </w:r>
      <w:r>
        <w:rPr>
          <w:rFonts w:eastAsia="Times New Roman"/>
          <w:b/>
          <w:color w:val="000000"/>
          <w:sz w:val="28"/>
          <w:szCs w:val="28"/>
        </w:rPr>
        <w:t xml:space="preserve"> </w:t>
      </w:r>
      <w:r>
        <w:rPr>
          <w:rFonts w:eastAsia="仿宋_GB2312;仿宋"/>
          <w:b/>
          <w:color w:val="000000"/>
          <w:sz w:val="28"/>
          <w:szCs w:val="28"/>
        </w:rPr>
        <w:t>则</w:t>
      </w:r>
      <w:r>
        <w:rPr>
          <w:rFonts w:eastAsia="Times New Roman"/>
          <w:b/>
          <w:color w:val="000000"/>
          <w:sz w:val="28"/>
          <w:szCs w:val="28"/>
        </w:rPr>
        <w:t xml:space="preserve"> </w:t>
      </w:r>
    </w:p>
    <w:p>
      <w:pPr>
        <w:pStyle w:val="Normal"/>
        <w:spacing w:lineRule="auto" w:line="360"/>
        <w:ind w:firstLine="539" w:right="0"/>
        <w:rPr/>
      </w:pPr>
      <w:r>
        <w:rPr>
          <w:rFonts w:eastAsia="仿宋_GB2312;仿宋"/>
          <w:b/>
          <w:color w:val="000000"/>
          <w:sz w:val="28"/>
          <w:szCs w:val="28"/>
        </w:rPr>
        <w:t>第五十三条</w:t>
      </w:r>
      <w:r>
        <w:rPr>
          <w:rFonts w:eastAsia="Times New Roman"/>
          <w:color w:val="000000"/>
          <w:sz w:val="28"/>
          <w:szCs w:val="28"/>
        </w:rPr>
        <w:t xml:space="preserve">  </w:t>
      </w:r>
      <w:r>
        <w:rPr>
          <w:rFonts w:eastAsia="仿宋_GB2312;仿宋"/>
          <w:color w:val="000000"/>
          <w:sz w:val="28"/>
          <w:szCs w:val="28"/>
        </w:rPr>
        <w:t>本办法由</w:t>
      </w:r>
      <w:r>
        <w:rPr>
          <w:rFonts w:ascii="仿宋_GB2312;仿宋" w:hAnsi="仿宋_GB2312;仿宋" w:cs="仿宋" w:eastAsia="仿宋_GB2312;仿宋"/>
          <w:sz w:val="28"/>
          <w:szCs w:val="28"/>
        </w:rPr>
        <w:t>本行计划</w:t>
      </w:r>
      <w:r>
        <w:rPr>
          <w:rFonts w:ascii="仿宋_GB2312;仿宋" w:hAnsi="仿宋_GB2312;仿宋" w:cs="仿宋" w:eastAsia="仿宋_GB2312;仿宋"/>
          <w:sz w:val="28"/>
          <w:szCs w:val="28"/>
        </w:rPr>
        <w:t>财务部</w:t>
      </w:r>
      <w:r>
        <w:rPr>
          <w:rFonts w:eastAsia="仿宋_GB2312;仿宋"/>
          <w:color w:val="000000"/>
          <w:sz w:val="28"/>
          <w:szCs w:val="28"/>
        </w:rPr>
        <w:t>负责解释和修订。</w:t>
      </w:r>
    </w:p>
    <w:p>
      <w:pPr>
        <w:pStyle w:val="Normal"/>
        <w:spacing w:lineRule="auto" w:line="360"/>
        <w:ind w:firstLine="539" w:right="0"/>
        <w:rPr/>
      </w:pPr>
      <w:r>
        <w:rPr>
          <w:rFonts w:eastAsia="仿宋_GB2312;仿宋"/>
          <w:b/>
          <w:color w:val="000000"/>
          <w:sz w:val="28"/>
          <w:szCs w:val="28"/>
        </w:rPr>
        <w:t>第五十四条</w:t>
      </w:r>
      <w:r>
        <w:rPr>
          <w:rFonts w:eastAsia="Times New Roman"/>
          <w:color w:val="000000"/>
          <w:sz w:val="28"/>
          <w:szCs w:val="28"/>
        </w:rPr>
        <w:t xml:space="preserve">  </w:t>
      </w:r>
      <w:r>
        <w:rPr>
          <w:rFonts w:eastAsia="仿宋_GB2312;仿宋"/>
          <w:color w:val="000000"/>
          <w:sz w:val="28"/>
          <w:szCs w:val="28"/>
        </w:rPr>
        <w:t>本办法</w:t>
      </w:r>
      <w:r>
        <w:rPr>
          <w:rFonts w:eastAsia="仿宋_GB2312;仿宋"/>
          <w:sz w:val="28"/>
          <w:szCs w:val="28"/>
        </w:rPr>
        <w:t>自发文之日起施行</w:t>
      </w:r>
      <w:r>
        <w:rPr>
          <w:rFonts w:eastAsia="仿宋_GB2312;仿宋"/>
          <w:color w:val="000000"/>
          <w:sz w:val="28"/>
          <w:szCs w:val="28"/>
        </w:rPr>
        <w:t>。</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r>
    </w:p>
    <w:p>
      <w:pPr>
        <w:pStyle w:val="Normal"/>
        <w:spacing w:lineRule="auto" w:line="360"/>
        <w:ind w:firstLine="537" w:right="0"/>
        <w:rPr>
          <w:rFonts w:eastAsia="仿宋_GB2312;仿宋"/>
          <w:sz w:val="28"/>
          <w:szCs w:val="28"/>
        </w:rPr>
      </w:pPr>
      <w:r>
        <w:rPr>
          <w:rFonts w:eastAsia="仿宋_GB2312;仿宋"/>
          <w:sz w:val="28"/>
          <w:szCs w:val="28"/>
        </w:rPr>
      </w:r>
    </w:p>
    <w:p>
      <w:pPr>
        <w:pStyle w:val="Normal"/>
        <w:spacing w:lineRule="auto" w:line="360"/>
        <w:ind w:firstLine="537" w:right="0"/>
        <w:rPr>
          <w:rFonts w:eastAsia="仿宋_GB2312;仿宋"/>
          <w:sz w:val="28"/>
          <w:szCs w:val="28"/>
        </w:rPr>
      </w:pPr>
      <w:r>
        <w:rPr>
          <w:rFonts w:eastAsia="仿宋_GB2312;仿宋"/>
          <w:sz w:val="28"/>
          <w:szCs w:val="28"/>
        </w:rPr>
      </w:r>
    </w:p>
    <w:p>
      <w:pPr>
        <w:pStyle w:val="Normal"/>
        <w:spacing w:lineRule="auto" w:line="360"/>
        <w:ind w:firstLine="537" w:right="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PageNumber">
    <w:name w:val="Page Number"/>
    <w:basedOn w:val="Style13"/>
    <w:rPr/>
  </w:style>
  <w:style w:type="character" w:styleId="2Char">
    <w:name w:val="标题 2 Char"/>
    <w:qFormat/>
    <w:rPr>
      <w:rFonts w:ascii="Calibri Light" w:hAnsi="Calibri Light" w:eastAsia="宋体;SimSun" w:cs="Times New Roman"/>
      <w:b/>
      <w:bCs/>
      <w:kern w:val="2"/>
      <w:sz w:val="32"/>
      <w:szCs w:val="32"/>
    </w:rPr>
  </w:style>
  <w:style w:type="character" w:styleId="Style14">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CharCharCharChar">
    <w:name w:val="默认段落字体 Para Char Char Char Char"/>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Style17">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Style18">
    <w:name w:val="批注文字"/>
    <w:basedOn w:val="Normal"/>
    <w:qFormat/>
    <w:pPr>
      <w:jc w:val="left"/>
    </w:pPr>
    <w:rPr/>
  </w:style>
  <w:style w:type="paragraph" w:styleId="Style19">
    <w:name w:val="批注主题"/>
    <w:basedOn w:val="Style18"/>
    <w:next w:val="Style18"/>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2014-09-02T10:36:00Z</dcterms:created>
  <dc:creator/>
  <dc:description/>
  <cp:keywords/>
  <dc:language>zh-CN</dc:language>
  <cp:lastModifiedBy/>
  <cp:lastPrinted>2014-09-02T10:36:00Z</cp:lastPrinted>
  <dcterms:modified xsi:type="dcterms:W3CDTF">2020-01-08T20:30:00Z</dcterms:modified>
  <cp:revision>0</cp:revision>
  <dc:subject/>
  <dc:title/>
</cp:coreProperties>
</file>