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rFonts w:ascii="方正小标宋简体;宋体" w:hAnsi="方正小标宋简体;宋体" w:eastAsia="方正小标宋简体;宋体" w:cs="方正小标宋简体;宋体"/>
          <w:sz w:val="36"/>
          <w:szCs w:val="36"/>
        </w:rPr>
      </w:pPr>
      <w:r>
        <w:rPr>
          <w:rFonts w:eastAsia="方正小标宋简体;宋体" w:cs="方正小标宋简体;宋体" w:ascii="方正小标宋简体;宋体" w:hAnsi="方正小标宋简体;宋体"/>
          <w:sz w:val="36"/>
          <w:szCs w:val="36"/>
        </w:rPr>
      </w:r>
    </w:p>
    <w:p>
      <w:pPr>
        <w:pStyle w:val="Normal"/>
        <w:spacing w:lineRule="auto" w:line="360"/>
        <w:jc w:val="center"/>
        <w:rPr>
          <w:rFonts w:eastAsia="仿宋_GB2312;仿宋"/>
          <w:sz w:val="28"/>
          <w:szCs w:val="28"/>
        </w:rPr>
      </w:pPr>
      <w:r>
        <w:rPr>
          <w:rFonts w:eastAsia="仿宋_GB2312;仿宋"/>
          <w:b/>
          <w:sz w:val="28"/>
          <w:szCs w:val="28"/>
        </w:rPr>
        <w:t>xxx</w:t>
      </w:r>
      <w:r>
        <w:rPr>
          <w:rFonts w:eastAsia="仿宋_GB2312;仿宋"/>
          <w:b/>
          <w:sz w:val="28"/>
          <w:szCs w:val="28"/>
        </w:rPr>
        <w:t>银行</w:t>
      </w:r>
    </w:p>
    <w:p>
      <w:pPr>
        <w:pStyle w:val="Style15"/>
        <w:ind w:hanging="0" w:right="0"/>
        <w:rPr>
          <w:rFonts w:ascii="Times New Roman" w:hAnsi="Times New Roman" w:cs="Times New Roman"/>
        </w:rPr>
      </w:pPr>
      <w:r>
        <w:rPr>
          <w:rFonts w:ascii="Times New Roman" w:hAnsi="Times New Roman" w:cs="Times New Roman"/>
          <w:lang w:bidi="en-US"/>
        </w:rPr>
        <w:t>反洗钱白名单库管理办法</w:t>
      </w:r>
    </w:p>
    <w:p>
      <w:pPr>
        <w:pStyle w:val="Normal"/>
        <w:spacing w:lineRule="auto" w:line="360"/>
        <w:ind w:firstLine="538" w:right="0"/>
        <w:jc w:val="center"/>
        <w:rPr>
          <w:rFonts w:ascii="Times New Roman" w:hAnsi="Times New Roman" w:eastAsia="仿宋_GB2312;仿宋" w:cs="Times New Roman"/>
          <w:sz w:val="28"/>
          <w:szCs w:val="28"/>
        </w:rPr>
      </w:pPr>
      <w:r>
        <w:rPr>
          <w:rFonts w:eastAsia="仿宋_GB2312;仿宋" w:cs="Times New Roman"/>
          <w:sz w:val="28"/>
          <w:szCs w:val="28"/>
        </w:rPr>
      </w:r>
    </w:p>
    <w:p>
      <w:pPr>
        <w:pStyle w:val="Normal"/>
        <w:numPr>
          <w:ilvl w:val="0"/>
          <w:numId w:val="2"/>
        </w:numPr>
        <w:spacing w:lineRule="auto" w:line="360"/>
        <w:jc w:val="center"/>
        <w:rPr>
          <w:rFonts w:eastAsia="仿宋_GB2312;仿宋"/>
          <w:sz w:val="28"/>
          <w:szCs w:val="28"/>
        </w:rPr>
      </w:pPr>
      <w:r>
        <w:rPr>
          <w:rFonts w:eastAsia="Times New Roman"/>
          <w:sz w:val="28"/>
          <w:szCs w:val="28"/>
        </w:rPr>
        <w:t xml:space="preserve"> </w:t>
      </w:r>
      <w:r>
        <w:rPr>
          <w:rFonts w:eastAsia="仿宋_GB2312;仿宋"/>
          <w:sz w:val="28"/>
          <w:szCs w:val="28"/>
        </w:rPr>
        <w:t>总</w:t>
      </w:r>
      <w:r>
        <w:rPr>
          <w:rFonts w:eastAsia="Times New Roman"/>
          <w:sz w:val="28"/>
          <w:szCs w:val="28"/>
        </w:rPr>
        <w:t xml:space="preserve"> </w:t>
      </w:r>
      <w:r>
        <w:rPr>
          <w:rFonts w:eastAsia="仿宋_GB2312;仿宋"/>
          <w:sz w:val="28"/>
          <w:szCs w:val="28"/>
        </w:rPr>
        <w:t>则</w:t>
      </w:r>
    </w:p>
    <w:p>
      <w:pPr>
        <w:pStyle w:val="Normal"/>
        <w:spacing w:lineRule="auto" w:line="360"/>
        <w:ind w:firstLine="538" w:right="0"/>
        <w:rPr>
          <w:rFonts w:eastAsia="仿宋_GB2312;仿宋"/>
          <w:sz w:val="28"/>
          <w:szCs w:val="28"/>
        </w:rPr>
      </w:pPr>
      <w:r>
        <w:rPr>
          <w:rFonts w:eastAsia="仿宋_GB2312;仿宋"/>
          <w:sz w:val="28"/>
          <w:szCs w:val="28"/>
        </w:rPr>
        <w:t>第一条</w:t>
      </w:r>
      <w:r>
        <w:rPr>
          <w:rFonts w:eastAsia="Times New Roman"/>
          <w:sz w:val="28"/>
          <w:szCs w:val="28"/>
        </w:rPr>
        <w:t xml:space="preserve">  </w:t>
      </w:r>
      <w:r>
        <w:rPr>
          <w:rFonts w:eastAsia="仿宋_GB2312;仿宋"/>
          <w:sz w:val="28"/>
          <w:szCs w:val="28"/>
        </w:rPr>
        <w:t>为进一步加强</w:t>
      </w:r>
      <w:r>
        <w:rPr>
          <w:rFonts w:eastAsia="仿宋_GB2312;仿宋"/>
          <w:sz w:val="28"/>
          <w:szCs w:val="28"/>
        </w:rPr>
        <w:t>xxx</w:t>
      </w:r>
      <w:r>
        <w:rPr>
          <w:rFonts w:eastAsia="仿宋_GB2312;仿宋"/>
          <w:sz w:val="28"/>
          <w:szCs w:val="28"/>
        </w:rPr>
        <w:t>银行（以下简称“本行”）反洗钱客户识别、分类管理工作，落实“风险为本”原则，提高反洗钱处理工作效率和大额、可疑交易数据报送质量，减少营业机构工作量，现根据《中华人民共和国反洗钱法》、《金融机构大额交易和可疑交易报告管理办法》、《金融机构客户身份识别和客户身份资料及交易记录保存管理办法》和《</w:t>
      </w:r>
      <w:r>
        <w:rPr>
          <w:rFonts w:eastAsia="仿宋_GB2312;仿宋"/>
          <w:sz w:val="28"/>
          <w:szCs w:val="28"/>
        </w:rPr>
        <w:t>xxx</w:t>
      </w:r>
      <w:r>
        <w:rPr>
          <w:rFonts w:eastAsia="仿宋_GB2312;仿宋"/>
          <w:sz w:val="28"/>
          <w:szCs w:val="28"/>
        </w:rPr>
        <w:t>银行反洗钱客户风险等级划分标准指引》等制定本办法。</w:t>
      </w:r>
    </w:p>
    <w:p>
      <w:pPr>
        <w:pStyle w:val="Normal"/>
        <w:spacing w:lineRule="auto" w:line="360"/>
        <w:ind w:firstLine="538" w:right="0"/>
        <w:rPr>
          <w:rFonts w:eastAsia="仿宋_GB2312;仿宋"/>
          <w:sz w:val="28"/>
          <w:szCs w:val="28"/>
        </w:rPr>
      </w:pPr>
      <w:r>
        <w:rPr>
          <w:rFonts w:eastAsia="仿宋_GB2312;仿宋"/>
          <w:sz w:val="28"/>
          <w:szCs w:val="28"/>
        </w:rPr>
      </w:r>
    </w:p>
    <w:p>
      <w:pPr>
        <w:pStyle w:val="Normal"/>
        <w:tabs>
          <w:tab w:val="clear" w:pos="420"/>
          <w:tab w:val="center" w:pos="4426" w:leader="none"/>
          <w:tab w:val="left" w:pos="6203" w:leader="none"/>
        </w:tabs>
        <w:spacing w:lineRule="auto" w:line="360"/>
        <w:jc w:val="left"/>
        <w:rPr>
          <w:rFonts w:eastAsia="仿宋_GB2312;仿宋"/>
          <w:sz w:val="28"/>
          <w:szCs w:val="28"/>
        </w:rPr>
      </w:pPr>
      <w:r>
        <w:rPr>
          <w:rFonts w:eastAsia="仿宋_GB2312;仿宋"/>
          <w:sz w:val="28"/>
          <w:szCs w:val="28"/>
        </w:rPr>
        <w:tab/>
      </w:r>
      <w:r>
        <w:rPr>
          <w:rFonts w:eastAsia="仿宋_GB2312;仿宋"/>
          <w:sz w:val="28"/>
          <w:szCs w:val="28"/>
        </w:rPr>
        <w:t>第二章</w:t>
      </w:r>
      <w:r>
        <w:rPr>
          <w:rFonts w:eastAsia="Times New Roman"/>
          <w:sz w:val="28"/>
          <w:szCs w:val="28"/>
        </w:rPr>
        <w:t xml:space="preserve">  </w:t>
      </w:r>
      <w:r>
        <w:rPr>
          <w:rFonts w:eastAsia="仿宋_GB2312;仿宋"/>
          <w:sz w:val="28"/>
          <w:szCs w:val="28"/>
        </w:rPr>
        <w:t>准入条件</w:t>
      </w:r>
      <w:r>
        <w:rPr>
          <w:rFonts w:eastAsia="仿宋_GB2312;仿宋"/>
          <w:sz w:val="28"/>
          <w:szCs w:val="28"/>
        </w:rPr>
        <w:tab/>
      </w:r>
    </w:p>
    <w:p>
      <w:pPr>
        <w:pStyle w:val="Normal"/>
        <w:spacing w:lineRule="auto" w:line="360"/>
        <w:jc w:val="left"/>
        <w:rPr>
          <w:rFonts w:eastAsia="仿宋_GB2312;仿宋"/>
          <w:sz w:val="28"/>
          <w:szCs w:val="28"/>
        </w:rPr>
      </w:pPr>
      <w:r>
        <w:rPr>
          <w:rFonts w:eastAsia="Times New Roman"/>
          <w:sz w:val="28"/>
          <w:szCs w:val="28"/>
        </w:rPr>
        <w:t xml:space="preserve">    </w:t>
      </w:r>
      <w:r>
        <w:rPr>
          <w:rFonts w:eastAsia="仿宋_GB2312;仿宋"/>
          <w:sz w:val="28"/>
          <w:szCs w:val="28"/>
        </w:rPr>
        <w:t>第二条</w:t>
      </w:r>
      <w:r>
        <w:rPr>
          <w:rFonts w:eastAsia="Times New Roman"/>
          <w:sz w:val="28"/>
          <w:szCs w:val="28"/>
        </w:rPr>
        <w:t xml:space="preserve">  </w:t>
      </w:r>
      <w:r>
        <w:rPr>
          <w:rFonts w:eastAsia="仿宋_GB2312;仿宋"/>
          <w:sz w:val="28"/>
          <w:szCs w:val="28"/>
        </w:rPr>
        <w:t>反洗钱“白名单”客户准入条件：</w:t>
      </w:r>
    </w:p>
    <w:p>
      <w:pPr>
        <w:pStyle w:val="Normal"/>
        <w:spacing w:lineRule="auto" w:line="360"/>
        <w:jc w:val="left"/>
        <w:rPr>
          <w:rFonts w:eastAsia="仿宋_GB2312;仿宋"/>
          <w:sz w:val="28"/>
          <w:szCs w:val="28"/>
        </w:rPr>
      </w:pPr>
      <w:r>
        <w:rPr>
          <w:rFonts w:eastAsia="Times New Roman"/>
          <w:sz w:val="28"/>
          <w:szCs w:val="28"/>
        </w:rPr>
        <w:t xml:space="preserve">    </w:t>
      </w:r>
      <w:r>
        <w:rPr>
          <w:rFonts w:eastAsia="仿宋_GB2312;仿宋"/>
          <w:sz w:val="28"/>
          <w:szCs w:val="28"/>
        </w:rPr>
        <w:t>（一）反洗钱白名单客户均从客户风险等级评定等级为低风险的客户中产生；</w:t>
      </w:r>
    </w:p>
    <w:p>
      <w:pPr>
        <w:pStyle w:val="Normal"/>
        <w:spacing w:lineRule="auto" w:line="360"/>
        <w:rPr>
          <w:rFonts w:eastAsia="仿宋_GB2312;仿宋"/>
          <w:sz w:val="28"/>
          <w:szCs w:val="28"/>
        </w:rPr>
      </w:pPr>
      <w:r>
        <w:rPr>
          <w:rFonts w:eastAsia="Times New Roman"/>
          <w:sz w:val="28"/>
          <w:szCs w:val="28"/>
        </w:rPr>
        <w:t xml:space="preserve">    </w:t>
      </w:r>
      <w:r>
        <w:rPr>
          <w:rFonts w:eastAsia="仿宋_GB2312;仿宋"/>
          <w:sz w:val="28"/>
          <w:szCs w:val="28"/>
        </w:rPr>
        <w:t>（二）各级党的机关、国家权力机关、行政机关、司法机关、军事机关、人民政协机关和人民解放军、武警部队，但不含其下属的各类企事业单位；</w:t>
      </w:r>
    </w:p>
    <w:p>
      <w:pPr>
        <w:pStyle w:val="Normal"/>
        <w:spacing w:lineRule="auto" w:line="360"/>
        <w:ind w:firstLine="538" w:right="0"/>
        <w:jc w:val="left"/>
        <w:rPr>
          <w:rFonts w:eastAsia="仿宋_GB2312;仿宋"/>
          <w:sz w:val="28"/>
          <w:szCs w:val="28"/>
        </w:rPr>
      </w:pPr>
      <w:r>
        <w:rPr>
          <w:rFonts w:eastAsia="仿宋_GB2312;仿宋"/>
          <w:sz w:val="28"/>
          <w:szCs w:val="28"/>
        </w:rPr>
        <w:t>（三）主权政府客户，包括中央银行、政府部门及政府养老基金客户等。</w:t>
      </w:r>
    </w:p>
    <w:p>
      <w:pPr>
        <w:pStyle w:val="Normal"/>
        <w:spacing w:lineRule="auto" w:line="360"/>
        <w:ind w:firstLine="538" w:right="0"/>
        <w:jc w:val="left"/>
        <w:rPr>
          <w:rFonts w:eastAsia="仿宋_GB2312;仿宋"/>
          <w:sz w:val="28"/>
          <w:szCs w:val="28"/>
        </w:rPr>
      </w:pPr>
      <w:r>
        <w:rPr>
          <w:rFonts w:eastAsia="仿宋_GB2312;仿宋"/>
          <w:sz w:val="28"/>
          <w:szCs w:val="28"/>
        </w:rPr>
      </w:r>
    </w:p>
    <w:p>
      <w:pPr>
        <w:pStyle w:val="Normal"/>
        <w:numPr>
          <w:ilvl w:val="0"/>
          <w:numId w:val="3"/>
        </w:numPr>
        <w:tabs>
          <w:tab w:val="clear" w:pos="420"/>
          <w:tab w:val="center" w:pos="4426" w:leader="none"/>
          <w:tab w:val="left" w:pos="6203" w:leader="none"/>
        </w:tabs>
        <w:spacing w:lineRule="auto" w:line="360"/>
        <w:jc w:val="center"/>
        <w:rPr>
          <w:rFonts w:eastAsia="仿宋_GB2312;仿宋"/>
          <w:sz w:val="28"/>
          <w:szCs w:val="28"/>
        </w:rPr>
      </w:pPr>
      <w:r>
        <w:rPr>
          <w:rFonts w:eastAsia="Times New Roman"/>
          <w:sz w:val="28"/>
          <w:szCs w:val="28"/>
        </w:rPr>
        <w:t xml:space="preserve"> </w:t>
      </w:r>
      <w:r>
        <w:rPr>
          <w:rFonts w:eastAsia="仿宋_GB2312;仿宋"/>
          <w:sz w:val="28"/>
          <w:szCs w:val="28"/>
        </w:rPr>
        <w:t>操作流程</w:t>
      </w:r>
    </w:p>
    <w:p>
      <w:pPr>
        <w:pStyle w:val="Normal"/>
        <w:spacing w:lineRule="auto" w:line="360"/>
        <w:ind w:firstLine="538" w:right="0"/>
        <w:rPr>
          <w:rFonts w:eastAsia="仿宋_GB2312;仿宋"/>
          <w:sz w:val="28"/>
          <w:szCs w:val="28"/>
        </w:rPr>
      </w:pPr>
      <w:r>
        <w:rPr>
          <w:rFonts w:eastAsia="仿宋_GB2312;仿宋"/>
          <w:sz w:val="28"/>
          <w:szCs w:val="28"/>
        </w:rPr>
        <w:t>第三条</w:t>
      </w:r>
      <w:r>
        <w:rPr>
          <w:rFonts w:eastAsia="Times New Roman"/>
          <w:sz w:val="28"/>
          <w:szCs w:val="28"/>
        </w:rPr>
        <w:t xml:space="preserve">  </w:t>
      </w:r>
      <w:r>
        <w:rPr>
          <w:rFonts w:eastAsia="仿宋_GB2312;仿宋"/>
          <w:sz w:val="28"/>
          <w:szCs w:val="28"/>
        </w:rPr>
        <w:t>新建流程：</w:t>
      </w:r>
    </w:p>
    <w:p>
      <w:pPr>
        <w:pStyle w:val="Normal"/>
        <w:spacing w:lineRule="auto" w:line="360"/>
        <w:ind w:firstLine="538" w:right="0"/>
        <w:rPr>
          <w:rFonts w:eastAsia="仿宋_GB2312;仿宋"/>
          <w:sz w:val="28"/>
          <w:szCs w:val="28"/>
        </w:rPr>
      </w:pPr>
      <w:r>
        <w:rPr>
          <w:rFonts w:eastAsia="仿宋_GB2312;仿宋"/>
          <w:sz w:val="28"/>
          <w:szCs w:val="28"/>
        </w:rPr>
        <w:t>（一）由客户账户开立网点根据准入条件初步认定是否符合白名单认定的条件，填写书面申请，提交反洗钱牵头部门负责人初审（核准类账户需经人民银行批准后提出申请）；</w:t>
      </w:r>
    </w:p>
    <w:p>
      <w:pPr>
        <w:pStyle w:val="Normal"/>
        <w:spacing w:lineRule="auto" w:line="360"/>
        <w:ind w:firstLine="538" w:right="0"/>
        <w:rPr>
          <w:rFonts w:eastAsia="仿宋_GB2312;仿宋"/>
          <w:sz w:val="28"/>
          <w:szCs w:val="28"/>
        </w:rPr>
      </w:pPr>
      <w:r>
        <w:rPr>
          <w:rFonts w:eastAsia="仿宋_GB2312;仿宋"/>
          <w:sz w:val="28"/>
          <w:szCs w:val="28"/>
        </w:rPr>
        <w:t>（二）反洗钱牵头部门负责人同意后提交反洗钱分管行长审批；</w:t>
      </w:r>
    </w:p>
    <w:p>
      <w:pPr>
        <w:pStyle w:val="Normal"/>
        <w:spacing w:lineRule="auto" w:line="360"/>
        <w:ind w:firstLine="538" w:right="0"/>
        <w:rPr>
          <w:rFonts w:eastAsia="仿宋_GB2312;仿宋"/>
          <w:sz w:val="28"/>
          <w:szCs w:val="28"/>
        </w:rPr>
      </w:pPr>
      <w:r>
        <w:rPr>
          <w:rFonts w:eastAsia="仿宋_GB2312;仿宋"/>
          <w:sz w:val="28"/>
          <w:szCs w:val="28"/>
        </w:rPr>
        <w:t>（三）反洗钱分管行长审批通过后由申请单位反洗钱编辑岗进入反洗钱系统，使用“白名单维护”菜单的“添加”功能予以维护，提交反洗钱系统审核岗；</w:t>
      </w:r>
    </w:p>
    <w:p>
      <w:pPr>
        <w:pStyle w:val="Normal"/>
        <w:spacing w:lineRule="auto" w:line="360"/>
        <w:ind w:firstLine="538" w:right="0"/>
        <w:rPr>
          <w:rFonts w:eastAsia="仿宋_GB2312;仿宋"/>
          <w:sz w:val="28"/>
          <w:szCs w:val="28"/>
        </w:rPr>
      </w:pPr>
      <w:r>
        <w:rPr>
          <w:rFonts w:eastAsia="仿宋_GB2312;仿宋"/>
          <w:sz w:val="28"/>
          <w:szCs w:val="28"/>
        </w:rPr>
        <w:t>（四）反洗钱系统审核岗根据实际情况予以审核，提交反洗钱系统审批岗；</w:t>
      </w:r>
    </w:p>
    <w:p>
      <w:pPr>
        <w:pStyle w:val="Normal"/>
        <w:spacing w:lineRule="auto" w:line="360"/>
        <w:ind w:firstLine="538" w:right="0"/>
        <w:rPr>
          <w:rFonts w:eastAsia="仿宋_GB2312;仿宋"/>
          <w:sz w:val="28"/>
          <w:szCs w:val="28"/>
        </w:rPr>
      </w:pPr>
      <w:r>
        <w:rPr>
          <w:rFonts w:eastAsia="仿宋_GB2312;仿宋"/>
          <w:sz w:val="28"/>
          <w:szCs w:val="28"/>
        </w:rPr>
        <w:t>（五）反洗钱系统审批岗根据实际情况予以审批，审批通过后该客户账户白名单维护成功。</w:t>
      </w:r>
    </w:p>
    <w:p>
      <w:pPr>
        <w:pStyle w:val="Normal"/>
        <w:spacing w:lineRule="auto" w:line="360"/>
        <w:ind w:firstLine="538" w:right="0"/>
        <w:rPr>
          <w:rFonts w:eastAsia="仿宋_GB2312;仿宋"/>
          <w:sz w:val="28"/>
          <w:szCs w:val="28"/>
        </w:rPr>
      </w:pPr>
      <w:r>
        <w:rPr>
          <w:rFonts w:eastAsia="仿宋_GB2312;仿宋"/>
          <w:sz w:val="28"/>
          <w:szCs w:val="28"/>
        </w:rPr>
        <w:t>第四条</w:t>
      </w:r>
      <w:r>
        <w:rPr>
          <w:rFonts w:eastAsia="Times New Roman"/>
          <w:sz w:val="28"/>
          <w:szCs w:val="28"/>
        </w:rPr>
        <w:t xml:space="preserve">  </w:t>
      </w:r>
      <w:r>
        <w:rPr>
          <w:rFonts w:eastAsia="仿宋_GB2312;仿宋"/>
          <w:sz w:val="28"/>
          <w:szCs w:val="28"/>
        </w:rPr>
        <w:t>退出流程：</w:t>
      </w:r>
    </w:p>
    <w:p>
      <w:pPr>
        <w:pStyle w:val="Normal"/>
        <w:spacing w:lineRule="auto" w:line="360"/>
        <w:ind w:firstLine="538" w:right="0"/>
        <w:rPr>
          <w:rFonts w:eastAsia="仿宋_GB2312;仿宋"/>
          <w:sz w:val="28"/>
          <w:szCs w:val="28"/>
        </w:rPr>
      </w:pPr>
      <w:r>
        <w:rPr>
          <w:rFonts w:eastAsia="仿宋_GB2312;仿宋"/>
          <w:sz w:val="28"/>
          <w:szCs w:val="28"/>
        </w:rPr>
        <w:t>（一）白名单客户销户或因账户业务、性质发生变更导致原白名单客户已不符合白名单认定的要求时，由客户所在营业网点提出取消白名单客户的书面申请，提交反洗钱牵头部门负责人审批；</w:t>
      </w:r>
    </w:p>
    <w:p>
      <w:pPr>
        <w:pStyle w:val="Normal"/>
        <w:spacing w:lineRule="auto" w:line="360"/>
        <w:ind w:firstLine="538" w:right="0"/>
        <w:rPr>
          <w:rFonts w:eastAsia="仿宋_GB2312;仿宋"/>
          <w:sz w:val="28"/>
          <w:szCs w:val="28"/>
        </w:rPr>
      </w:pPr>
      <w:r>
        <w:rPr>
          <w:rFonts w:eastAsia="仿宋_GB2312;仿宋"/>
          <w:sz w:val="28"/>
          <w:szCs w:val="28"/>
        </w:rPr>
        <w:t>（二）反洗钱牵头部门负责人审批通过后由申请单位反洗钱编辑岗进入反洗钱系统，使用“白名单维护”菜单的“删除”功能予以维护，提交反洗钱系统审核岗；</w:t>
      </w:r>
    </w:p>
    <w:p>
      <w:pPr>
        <w:pStyle w:val="Normal"/>
        <w:spacing w:lineRule="auto" w:line="360"/>
        <w:ind w:firstLine="538" w:right="0"/>
        <w:rPr>
          <w:rFonts w:eastAsia="仿宋_GB2312;仿宋"/>
          <w:sz w:val="28"/>
          <w:szCs w:val="28"/>
        </w:rPr>
      </w:pPr>
      <w:r>
        <w:rPr>
          <w:rFonts w:eastAsia="仿宋_GB2312;仿宋"/>
          <w:sz w:val="28"/>
          <w:szCs w:val="28"/>
        </w:rPr>
        <w:t>（三）反洗钱系统审核岗要据实际情况予以审核，提交反洗钱系统审批岗；</w:t>
      </w:r>
    </w:p>
    <w:p>
      <w:pPr>
        <w:pStyle w:val="Normal"/>
        <w:spacing w:lineRule="auto" w:line="360"/>
        <w:ind w:firstLine="538" w:right="0"/>
        <w:rPr>
          <w:rFonts w:eastAsia="仿宋_GB2312;仿宋"/>
          <w:sz w:val="28"/>
          <w:szCs w:val="28"/>
        </w:rPr>
      </w:pPr>
      <w:r>
        <w:rPr>
          <w:rFonts w:eastAsia="仿宋_GB2312;仿宋"/>
          <w:sz w:val="28"/>
          <w:szCs w:val="28"/>
        </w:rPr>
        <w:t>（四）反洗钱系统审批岗根据实际情况予以审批，审批通过后该客户账户白名单退出成功。</w:t>
      </w:r>
    </w:p>
    <w:p>
      <w:pPr>
        <w:pStyle w:val="Normal"/>
        <w:spacing w:lineRule="auto" w:line="360"/>
        <w:ind w:firstLine="538" w:right="0"/>
        <w:jc w:val="left"/>
        <w:rPr>
          <w:rFonts w:eastAsia="仿宋_GB2312;仿宋"/>
          <w:sz w:val="28"/>
          <w:szCs w:val="28"/>
        </w:rPr>
      </w:pPr>
      <w:r>
        <w:rPr>
          <w:rFonts w:eastAsia="仿宋_GB2312;仿宋"/>
          <w:sz w:val="28"/>
          <w:szCs w:val="28"/>
        </w:rPr>
      </w:r>
    </w:p>
    <w:p>
      <w:pPr>
        <w:pStyle w:val="Normal"/>
        <w:numPr>
          <w:ilvl w:val="0"/>
          <w:numId w:val="3"/>
        </w:numPr>
        <w:tabs>
          <w:tab w:val="clear" w:pos="420"/>
          <w:tab w:val="center" w:pos="4426" w:leader="none"/>
          <w:tab w:val="left" w:pos="6203" w:leader="none"/>
        </w:tabs>
        <w:spacing w:lineRule="auto" w:line="360"/>
        <w:jc w:val="center"/>
        <w:rPr>
          <w:rFonts w:eastAsia="仿宋_GB2312;仿宋"/>
          <w:sz w:val="28"/>
          <w:szCs w:val="28"/>
        </w:rPr>
      </w:pPr>
      <w:r>
        <w:rPr>
          <w:rFonts w:eastAsia="Times New Roman"/>
          <w:sz w:val="28"/>
          <w:szCs w:val="28"/>
        </w:rPr>
        <w:t xml:space="preserve">  </w:t>
      </w:r>
      <w:r>
        <w:rPr>
          <w:rFonts w:eastAsia="仿宋_GB2312;仿宋"/>
          <w:sz w:val="28"/>
          <w:szCs w:val="28"/>
        </w:rPr>
        <w:t>考核机制</w:t>
      </w:r>
    </w:p>
    <w:p>
      <w:pPr>
        <w:pStyle w:val="Normal"/>
        <w:tabs>
          <w:tab w:val="clear" w:pos="420"/>
          <w:tab w:val="center" w:pos="4365" w:leader="none"/>
        </w:tabs>
        <w:spacing w:lineRule="auto" w:line="360"/>
        <w:ind w:firstLine="538" w:right="0"/>
        <w:rPr>
          <w:rFonts w:eastAsia="仿宋_GB2312;仿宋"/>
          <w:sz w:val="28"/>
          <w:szCs w:val="28"/>
        </w:rPr>
      </w:pPr>
      <w:r>
        <w:rPr>
          <w:rFonts w:eastAsia="仿宋_GB2312;仿宋"/>
          <w:sz w:val="28"/>
          <w:szCs w:val="28"/>
        </w:rPr>
        <w:t>第五条</w:t>
      </w:r>
      <w:r>
        <w:rPr>
          <w:rFonts w:eastAsia="Times New Roman"/>
          <w:sz w:val="28"/>
          <w:szCs w:val="28"/>
        </w:rPr>
        <w:t xml:space="preserve">  </w:t>
      </w:r>
      <w:r>
        <w:rPr>
          <w:rFonts w:eastAsia="仿宋_GB2312;仿宋"/>
          <w:sz w:val="28"/>
          <w:szCs w:val="28"/>
        </w:rPr>
        <w:t>本行按月对照各营业网点核心系统开销户登记簿对反洗钱监测系统中的白名单进行监测，确保白名单维护到位。监测中若发现有应入未入白名单、客户已销户白名单未退出和审批手续不齐全情形的，对相关责任人和所在网点进行处罚。</w:t>
      </w:r>
    </w:p>
    <w:p>
      <w:pPr>
        <w:pStyle w:val="Normal"/>
        <w:tabs>
          <w:tab w:val="clear" w:pos="420"/>
          <w:tab w:val="center" w:pos="4365" w:leader="none"/>
        </w:tabs>
        <w:spacing w:lineRule="auto" w:line="360"/>
        <w:ind w:firstLine="538" w:right="0"/>
        <w:jc w:val="left"/>
        <w:rPr>
          <w:rFonts w:eastAsia="仿宋_GB2312;仿宋"/>
          <w:sz w:val="28"/>
          <w:szCs w:val="28"/>
        </w:rPr>
      </w:pPr>
      <w:r>
        <w:rPr>
          <w:rFonts w:eastAsia="仿宋_GB2312;仿宋"/>
          <w:sz w:val="28"/>
          <w:szCs w:val="28"/>
        </w:rPr>
      </w:r>
    </w:p>
    <w:p>
      <w:pPr>
        <w:pStyle w:val="Normal"/>
        <w:numPr>
          <w:ilvl w:val="0"/>
          <w:numId w:val="3"/>
        </w:numPr>
        <w:tabs>
          <w:tab w:val="clear" w:pos="420"/>
          <w:tab w:val="center" w:pos="4426" w:leader="none"/>
          <w:tab w:val="left" w:pos="6203" w:leader="none"/>
        </w:tabs>
        <w:spacing w:lineRule="auto" w:line="360"/>
        <w:jc w:val="center"/>
        <w:rPr>
          <w:rFonts w:eastAsia="仿宋_GB2312;仿宋"/>
          <w:sz w:val="28"/>
          <w:szCs w:val="28"/>
        </w:rPr>
      </w:pPr>
      <w:r>
        <w:rPr>
          <w:rFonts w:eastAsia="Times New Roman"/>
          <w:sz w:val="28"/>
          <w:szCs w:val="28"/>
        </w:rPr>
        <w:t xml:space="preserve">  </w:t>
      </w:r>
      <w:r>
        <w:rPr>
          <w:rFonts w:eastAsia="仿宋_GB2312;仿宋"/>
          <w:sz w:val="28"/>
          <w:szCs w:val="28"/>
        </w:rPr>
        <w:t>管理要求</w:t>
      </w:r>
    </w:p>
    <w:p>
      <w:pPr>
        <w:pStyle w:val="Normal"/>
        <w:spacing w:lineRule="auto" w:line="360"/>
        <w:ind w:firstLine="540" w:right="0"/>
        <w:rPr>
          <w:rFonts w:eastAsia="仿宋_GB2312;仿宋"/>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坚持审慎原则加强对白名单客户管理。</w:t>
      </w:r>
    </w:p>
    <w:p>
      <w:pPr>
        <w:pStyle w:val="Normal"/>
        <w:spacing w:lineRule="auto" w:line="360"/>
        <w:ind w:firstLine="540" w:right="0"/>
        <w:rPr>
          <w:rFonts w:eastAsia="仿宋_GB2312;仿宋"/>
          <w:sz w:val="28"/>
          <w:szCs w:val="28"/>
        </w:rPr>
      </w:pPr>
      <w:r>
        <w:rPr>
          <w:rFonts w:eastAsia="仿宋_GB2312;仿宋"/>
          <w:sz w:val="28"/>
          <w:szCs w:val="28"/>
        </w:rPr>
        <w:t>一是严格审批制度，白名单客户只能在风险等级划分为低风险的客户中产生；</w:t>
      </w:r>
    </w:p>
    <w:p>
      <w:pPr>
        <w:pStyle w:val="Normal"/>
        <w:spacing w:lineRule="auto" w:line="360"/>
        <w:ind w:firstLine="540" w:right="0"/>
        <w:rPr>
          <w:rFonts w:eastAsia="仿宋_GB2312;仿宋"/>
          <w:sz w:val="28"/>
          <w:szCs w:val="28"/>
        </w:rPr>
      </w:pPr>
      <w:r>
        <w:rPr>
          <w:rFonts w:eastAsia="仿宋_GB2312;仿宋"/>
          <w:sz w:val="28"/>
          <w:szCs w:val="28"/>
        </w:rPr>
        <w:t>二是要定期对白名单客户的资金交易进行回溯（暂定为半年），发现异常的必须及时上报可疑交易；</w:t>
      </w:r>
    </w:p>
    <w:p>
      <w:pPr>
        <w:pStyle w:val="Normal"/>
        <w:spacing w:lineRule="auto" w:line="360"/>
        <w:ind w:firstLine="540" w:right="0"/>
        <w:rPr>
          <w:rFonts w:eastAsia="仿宋_GB2312;仿宋"/>
          <w:sz w:val="28"/>
          <w:szCs w:val="28"/>
        </w:rPr>
      </w:pPr>
      <w:r>
        <w:rPr>
          <w:rFonts w:eastAsia="仿宋_GB2312;仿宋"/>
          <w:sz w:val="28"/>
          <w:szCs w:val="28"/>
        </w:rPr>
        <w:t>三是实施退出机制，一旦发现白名单客户出现风险状况或可疑情形的，及时将其调出白名单；</w:t>
      </w:r>
    </w:p>
    <w:p>
      <w:pPr>
        <w:pStyle w:val="Normal"/>
        <w:spacing w:lineRule="auto" w:line="360"/>
        <w:ind w:firstLine="540" w:right="0"/>
        <w:rPr>
          <w:rFonts w:eastAsia="仿宋_GB2312;仿宋"/>
          <w:sz w:val="28"/>
          <w:szCs w:val="28"/>
        </w:rPr>
      </w:pPr>
      <w:r>
        <w:rPr>
          <w:rFonts w:eastAsia="仿宋_GB2312;仿宋"/>
          <w:sz w:val="28"/>
          <w:szCs w:val="28"/>
        </w:rPr>
        <w:t>四是加强白名单客户信息保密工作，严禁将白名单信息透露给客户。</w:t>
      </w:r>
    </w:p>
    <w:p>
      <w:pPr>
        <w:pStyle w:val="Normal"/>
        <w:spacing w:lineRule="auto" w:line="360"/>
        <w:jc w:val="left"/>
        <w:rPr>
          <w:rFonts w:eastAsia="仿宋_GB2312;仿宋"/>
          <w:sz w:val="28"/>
          <w:szCs w:val="28"/>
        </w:rPr>
      </w:pPr>
      <w:r>
        <w:rPr>
          <w:rFonts w:eastAsia="Times New Roman"/>
          <w:sz w:val="28"/>
          <w:szCs w:val="28"/>
        </w:rPr>
        <w:t xml:space="preserve"> </w:t>
      </w:r>
    </w:p>
    <w:p>
      <w:pPr>
        <w:pStyle w:val="Normal"/>
        <w:numPr>
          <w:ilvl w:val="0"/>
          <w:numId w:val="3"/>
        </w:numPr>
        <w:spacing w:lineRule="auto" w:line="360"/>
        <w:jc w:val="center"/>
        <w:rPr>
          <w:rFonts w:eastAsia="仿宋_GB2312;仿宋"/>
          <w:sz w:val="28"/>
          <w:szCs w:val="28"/>
        </w:rPr>
      </w:pPr>
      <w:r>
        <w:rPr>
          <w:rFonts w:eastAsia="Times New Roman"/>
          <w:sz w:val="28"/>
          <w:szCs w:val="28"/>
        </w:rPr>
        <w:t xml:space="preserve">  </w:t>
      </w:r>
      <w:r>
        <w:rPr>
          <w:rFonts w:eastAsia="仿宋_GB2312;仿宋"/>
          <w:sz w:val="28"/>
          <w:szCs w:val="28"/>
        </w:rPr>
        <w:t>附</w:t>
      </w:r>
      <w:r>
        <w:rPr>
          <w:rFonts w:eastAsia="Times New Roman"/>
          <w:sz w:val="28"/>
          <w:szCs w:val="28"/>
        </w:rPr>
        <w:t xml:space="preserve">  </w:t>
      </w:r>
      <w:r>
        <w:rPr>
          <w:rFonts w:eastAsia="仿宋_GB2312;仿宋"/>
          <w:sz w:val="28"/>
          <w:szCs w:val="28"/>
        </w:rPr>
        <w:t>则</w:t>
      </w:r>
    </w:p>
    <w:p>
      <w:pPr>
        <w:pStyle w:val="Normal"/>
        <w:spacing w:lineRule="auto" w:line="360"/>
        <w:ind w:firstLine="538" w:right="0"/>
        <w:rPr>
          <w:rFonts w:eastAsia="仿宋_GB2312;仿宋"/>
          <w:spacing w:val="-4"/>
          <w:sz w:val="28"/>
          <w:szCs w:val="28"/>
        </w:rPr>
      </w:pPr>
      <w:r>
        <w:rPr>
          <w:rFonts w:eastAsia="仿宋_GB2312;仿宋"/>
          <w:sz w:val="28"/>
          <w:szCs w:val="28"/>
        </w:rPr>
        <w:t>第十七条</w:t>
      </w:r>
      <w:r>
        <w:rPr>
          <w:rFonts w:eastAsia="Times New Roman"/>
          <w:sz w:val="28"/>
          <w:szCs w:val="28"/>
        </w:rPr>
        <w:t xml:space="preserve">  </w:t>
      </w:r>
      <w:r>
        <w:rPr>
          <w:rFonts w:eastAsia="仿宋_GB2312;仿宋"/>
          <w:sz w:val="28"/>
          <w:szCs w:val="28"/>
        </w:rPr>
        <w:t>违规</w:t>
      </w:r>
      <w:r>
        <w:rPr>
          <w:rFonts w:eastAsia="仿宋_GB2312;仿宋"/>
          <w:sz w:val="28"/>
          <w:szCs w:val="28"/>
        </w:rPr>
        <w:t>行为按本行</w:t>
      </w:r>
      <w:r>
        <w:rPr>
          <w:rFonts w:eastAsia="仿宋_GB2312;仿宋"/>
          <w:spacing w:val="-4"/>
          <w:sz w:val="28"/>
          <w:szCs w:val="28"/>
        </w:rPr>
        <w:t>员工违规</w:t>
      </w:r>
      <w:r>
        <w:rPr>
          <w:rFonts w:eastAsia="仿宋_GB2312;仿宋"/>
          <w:spacing w:val="-4"/>
          <w:sz w:val="28"/>
          <w:szCs w:val="28"/>
        </w:rPr>
        <w:t>违章</w:t>
      </w:r>
      <w:r>
        <w:rPr>
          <w:rFonts w:eastAsia="仿宋_GB2312;仿宋"/>
          <w:spacing w:val="-4"/>
          <w:sz w:val="28"/>
          <w:szCs w:val="28"/>
        </w:rPr>
        <w:t>行为</w:t>
      </w:r>
      <w:r>
        <w:rPr>
          <w:rFonts w:eastAsia="仿宋_GB2312;仿宋"/>
          <w:spacing w:val="-4"/>
          <w:sz w:val="28"/>
          <w:szCs w:val="28"/>
        </w:rPr>
        <w:t>管理</w:t>
      </w:r>
      <w:r>
        <w:rPr>
          <w:rFonts w:eastAsia="仿宋_GB2312;仿宋"/>
          <w:spacing w:val="-4"/>
          <w:sz w:val="28"/>
          <w:szCs w:val="28"/>
        </w:rPr>
        <w:t>规定</w:t>
      </w:r>
      <w:r>
        <w:rPr>
          <w:rFonts w:eastAsia="仿宋_GB2312;仿宋"/>
          <w:spacing w:val="-4"/>
          <w:sz w:val="28"/>
          <w:szCs w:val="28"/>
        </w:rPr>
        <w:t>执行</w:t>
      </w:r>
      <w:r>
        <w:rPr>
          <w:rFonts w:eastAsia="仿宋_GB2312;仿宋"/>
          <w:spacing w:val="-4"/>
          <w:sz w:val="28"/>
          <w:szCs w:val="28"/>
        </w:rPr>
        <w:t>。</w:t>
      </w:r>
    </w:p>
    <w:p>
      <w:pPr>
        <w:pStyle w:val="Normal"/>
        <w:spacing w:lineRule="auto" w:line="360"/>
        <w:ind w:firstLine="522" w:right="0"/>
        <w:rPr>
          <w:rFonts w:eastAsia="仿宋_GB2312;仿宋"/>
          <w:bCs/>
          <w:color w:val="000000"/>
          <w:kern w:val="0"/>
          <w:sz w:val="28"/>
          <w:szCs w:val="28"/>
        </w:rPr>
      </w:pPr>
      <w:r>
        <w:rPr>
          <w:rFonts w:eastAsia="仿宋_GB2312;仿宋"/>
          <w:spacing w:val="-4"/>
          <w:sz w:val="28"/>
          <w:szCs w:val="28"/>
        </w:rPr>
        <w:t>第十八条</w:t>
      </w:r>
      <w:r>
        <w:rPr>
          <w:rFonts w:eastAsia="Times New Roman"/>
          <w:spacing w:val="-4"/>
          <w:sz w:val="28"/>
          <w:szCs w:val="28"/>
        </w:rPr>
        <w:t xml:space="preserve">  </w:t>
      </w:r>
      <w:r>
        <w:rPr>
          <w:rFonts w:eastAsia="仿宋_GB2312;仿宋"/>
          <w:bCs/>
          <w:color w:val="000000"/>
          <w:kern w:val="0"/>
          <w:sz w:val="28"/>
          <w:szCs w:val="28"/>
        </w:rPr>
        <w:t>本办法由</w:t>
      </w:r>
      <w:r>
        <w:rPr>
          <w:rFonts w:eastAsia="仿宋_GB2312;仿宋"/>
          <w:bCs/>
          <w:color w:val="000000"/>
          <w:kern w:val="0"/>
          <w:sz w:val="28"/>
          <w:szCs w:val="28"/>
        </w:rPr>
        <w:t>xxx</w:t>
      </w:r>
      <w:r>
        <w:rPr>
          <w:rFonts w:eastAsia="仿宋_GB2312;仿宋"/>
          <w:bCs/>
          <w:color w:val="000000"/>
          <w:kern w:val="0"/>
          <w:sz w:val="28"/>
          <w:szCs w:val="28"/>
        </w:rPr>
        <w:t>银行</w:t>
      </w:r>
      <w:r>
        <w:rPr>
          <w:rFonts w:eastAsia="仿宋_GB2312;仿宋"/>
          <w:bCs/>
          <w:color w:val="000000"/>
          <w:kern w:val="0"/>
          <w:sz w:val="28"/>
          <w:szCs w:val="28"/>
        </w:rPr>
        <w:t>运营</w:t>
      </w:r>
      <w:r>
        <w:rPr>
          <w:rFonts w:eastAsia="仿宋_GB2312;仿宋"/>
          <w:bCs/>
          <w:color w:val="000000"/>
          <w:kern w:val="0"/>
          <w:sz w:val="28"/>
          <w:szCs w:val="28"/>
        </w:rPr>
        <w:t>管理部负责解释</w:t>
      </w:r>
      <w:r>
        <w:rPr>
          <w:rFonts w:eastAsia="仿宋_GB2312;仿宋"/>
          <w:bCs/>
          <w:color w:val="000000"/>
          <w:kern w:val="0"/>
          <w:sz w:val="28"/>
          <w:szCs w:val="28"/>
        </w:rPr>
        <w:t>和</w:t>
      </w:r>
      <w:r>
        <w:rPr>
          <w:rFonts w:eastAsia="仿宋_GB2312;仿宋"/>
          <w:bCs/>
          <w:color w:val="000000"/>
          <w:kern w:val="0"/>
          <w:sz w:val="28"/>
          <w:szCs w:val="28"/>
        </w:rPr>
        <w:t>修订。</w:t>
      </w:r>
    </w:p>
    <w:p>
      <w:pPr>
        <w:pStyle w:val="Normal"/>
        <w:spacing w:lineRule="auto" w:line="360"/>
        <w:ind w:firstLine="522" w:right="0"/>
        <w:rPr>
          <w:rFonts w:ascii="仿宋_GB2312;仿宋" w:hAnsi="仿宋_GB2312;仿宋" w:eastAsia="仿宋_GB2312;仿宋"/>
          <w:spacing w:val="-4"/>
          <w:sz w:val="30"/>
          <w:szCs w:val="30"/>
        </w:rPr>
      </w:pPr>
      <w:r>
        <w:rPr>
          <w:rFonts w:eastAsia="仿宋_GB2312;仿宋"/>
          <w:spacing w:val="-4"/>
          <w:sz w:val="28"/>
          <w:szCs w:val="28"/>
        </w:rPr>
        <w:t>第</w:t>
      </w:r>
      <w:r>
        <w:rPr>
          <w:rFonts w:eastAsia="仿宋_GB2312;仿宋"/>
          <w:spacing w:val="-4"/>
          <w:sz w:val="28"/>
          <w:szCs w:val="28"/>
        </w:rPr>
        <w:t>十九条</w:t>
      </w:r>
      <w:r>
        <w:rPr>
          <w:rFonts w:eastAsia="Times New Roman"/>
          <w:spacing w:val="-4"/>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rPr>
          <w:rFonts w:ascii="黑体" w:hAnsi="黑体" w:eastAsia="黑体" w:cs="黑体"/>
          <w:spacing w:val="-4"/>
          <w:sz w:val="30"/>
          <w:szCs w:val="30"/>
        </w:rPr>
      </w:pPr>
      <w:r>
        <w:rPr>
          <w:rFonts w:eastAsia="黑体" w:cs="黑体" w:ascii="黑体" w:hAnsi="黑体"/>
          <w:spacing w:val="-4"/>
          <w:sz w:val="30"/>
          <w:szCs w:val="30"/>
        </w:rPr>
      </w:r>
    </w:p>
    <w:p>
      <w:pPr>
        <w:pStyle w:val="Normal"/>
        <w:jc w:val="left"/>
        <w:rPr>
          <w:rFonts w:ascii="黑体" w:hAnsi="黑体" w:eastAsia="仿宋_GB2312;仿宋" w:cs="黑体"/>
          <w:sz w:val="30"/>
          <w:szCs w:val="30"/>
        </w:rPr>
      </w:pPr>
      <w:r>
        <w:rPr>
          <w:rFonts w:eastAsia="仿宋_GB2312;仿宋" w:cs="黑体" w:ascii="黑体" w:hAnsi="黑体"/>
          <w:sz w:val="30"/>
          <w:szCs w:val="30"/>
        </w:rPr>
      </w:r>
    </w:p>
    <w:p>
      <w:pPr>
        <w:pStyle w:val="Normal"/>
        <w:jc w:val="left"/>
        <w:rPr>
          <w:rFonts w:eastAsia="仿宋_GB2312;仿宋"/>
          <w:sz w:val="30"/>
          <w:szCs w:val="30"/>
        </w:rPr>
      </w:pPr>
      <w:r>
        <w:rPr>
          <w:rFonts w:eastAsia="仿宋_GB2312;仿宋"/>
          <w:sz w:val="30"/>
          <w:szCs w:val="30"/>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spacing w:lineRule="auto" w:line="360"/>
        <w:ind w:firstLine="538" w:right="0"/>
        <w:rPr>
          <w:rFonts w:eastAsia="仿宋_GB2312;仿宋"/>
          <w:sz w:val="28"/>
          <w:szCs w:val="28"/>
        </w:rPr>
      </w:pPr>
      <w:r>
        <w:rPr>
          <w:rFonts w:eastAsia="仿宋_GB2312;仿宋"/>
          <w:sz w:val="28"/>
          <w:szCs w:val="28"/>
        </w:rPr>
        <w:t>附件</w:t>
      </w:r>
      <w:r>
        <w:rPr>
          <w:rFonts w:eastAsia="仿宋_GB2312;仿宋"/>
          <w:sz w:val="28"/>
          <w:szCs w:val="28"/>
        </w:rPr>
        <w:t>：《</w:t>
      </w:r>
      <w:r>
        <w:rPr>
          <w:rFonts w:eastAsia="仿宋_GB2312;仿宋"/>
          <w:sz w:val="28"/>
          <w:szCs w:val="28"/>
        </w:rPr>
        <w:t>xx</w:t>
      </w:r>
      <w:r>
        <w:rPr>
          <w:rFonts w:eastAsia="仿宋_GB2312;仿宋"/>
          <w:sz w:val="28"/>
          <w:szCs w:val="28"/>
        </w:rPr>
        <w:t>银行股份有限公司反洗钱客户白名单维护申请表》</w:t>
      </w:r>
    </w:p>
    <w:p>
      <w:pPr>
        <w:pStyle w:val="Normal"/>
        <w:jc w:val="left"/>
        <w:rPr>
          <w:rFonts w:eastAsia="仿宋_GB2312;仿宋"/>
          <w:sz w:val="28"/>
          <w:szCs w:val="28"/>
        </w:rPr>
      </w:pPr>
      <w:r>
        <w:rPr>
          <w:rFonts w:eastAsia="仿宋_GB2312;仿宋"/>
          <w:sz w:val="28"/>
          <w:szCs w:val="28"/>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仿宋_GB2312;仿宋" w:hAnsi="仿宋_GB2312;仿宋" w:eastAsia="仿宋_GB2312;仿宋" w:cs="黑体"/>
          <w:sz w:val="28"/>
          <w:szCs w:val="28"/>
        </w:rPr>
      </w:pPr>
      <w:r>
        <w:rPr>
          <w:rFonts w:ascii="仿宋_GB2312;仿宋" w:hAnsi="仿宋_GB2312;仿宋" w:cs="黑体" w:eastAsia="仿宋_GB2312;仿宋"/>
          <w:sz w:val="28"/>
          <w:szCs w:val="28"/>
        </w:rPr>
        <w:t>附件：</w:t>
      </w:r>
    </w:p>
    <w:tbl>
      <w:tblPr>
        <w:tblW w:w="9478" w:type="dxa"/>
        <w:jc w:val="left"/>
        <w:tblInd w:w="0" w:type="dxa"/>
        <w:tblLayout w:type="fixed"/>
        <w:tblCellMar>
          <w:top w:w="15" w:type="dxa"/>
          <w:left w:w="15" w:type="dxa"/>
          <w:bottom w:w="15" w:type="dxa"/>
          <w:right w:w="15" w:type="dxa"/>
        </w:tblCellMar>
      </w:tblPr>
      <w:tblGrid>
        <w:gridCol w:w="1911"/>
        <w:gridCol w:w="2797"/>
        <w:gridCol w:w="1662"/>
        <w:gridCol w:w="3108"/>
      </w:tblGrid>
      <w:tr>
        <w:trPr>
          <w:trHeight w:val="630" w:hRule="atLeast"/>
        </w:trPr>
        <w:tc>
          <w:tcPr>
            <w:tcW w:w="9478" w:type="dxa"/>
            <w:gridSpan w:val="4"/>
            <w:tcBorders/>
            <w:vAlign w:val="center"/>
          </w:tcPr>
          <w:p>
            <w:pPr>
              <w:pStyle w:val="Normal"/>
              <w:widowControl/>
              <w:jc w:val="center"/>
              <w:textAlignment w:val="center"/>
              <w:rPr>
                <w:rFonts w:ascii="黑体" w:hAnsi="黑体" w:eastAsia="黑体" w:cs="宋体"/>
                <w:b/>
                <w:color w:val="000000"/>
                <w:sz w:val="28"/>
                <w:szCs w:val="28"/>
              </w:rPr>
            </w:pPr>
            <w:r>
              <w:rPr>
                <w:rFonts w:eastAsia="黑体" w:cs="宋体" w:ascii="黑体" w:hAnsi="黑体"/>
                <w:b/>
                <w:color w:val="000000"/>
                <w:kern w:val="0"/>
                <w:sz w:val="28"/>
                <w:szCs w:val="28"/>
              </w:rPr>
              <w:t>xx</w:t>
            </w:r>
            <w:r>
              <w:rPr>
                <w:rFonts w:ascii="黑体" w:hAnsi="黑体" w:cs="宋体" w:eastAsia="黑体"/>
                <w:b/>
                <w:color w:val="000000"/>
                <w:kern w:val="0"/>
                <w:sz w:val="28"/>
                <w:szCs w:val="28"/>
              </w:rPr>
              <w:t>银行股份有限公司反洗钱客户白名单维护申请表</w:t>
            </w:r>
          </w:p>
        </w:tc>
      </w:tr>
      <w:tr>
        <w:trPr>
          <w:trHeight w:val="795"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申报单位：</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u w:val="single"/>
              </w:rPr>
            </w:pPr>
            <w:r>
              <w:rPr>
                <w:rFonts w:ascii="宋体" w:hAnsi="宋体" w:cs="宋体"/>
                <w:color w:val="000000"/>
                <w:kern w:val="0"/>
                <w:sz w:val="22"/>
                <w:szCs w:val="22"/>
                <w:u w:val="single"/>
              </w:rPr>
              <w:t xml:space="preserve">       </w:t>
            </w:r>
            <w:r>
              <w:rPr>
                <w:rStyle w:val="Font11"/>
              </w:rPr>
              <w:t>支行（部）</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申报日期：</w:t>
            </w:r>
          </w:p>
        </w:tc>
        <w:tc>
          <w:tcPr>
            <w:tcW w:w="31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 xml:space="preserve">     </w:t>
            </w:r>
            <w:r>
              <w:rPr>
                <w:rFonts w:ascii="宋体" w:hAnsi="宋体" w:cs="宋体"/>
                <w:color w:val="000000"/>
                <w:kern w:val="0"/>
                <w:sz w:val="22"/>
                <w:szCs w:val="22"/>
              </w:rPr>
              <w:t>年    月   日</w:t>
            </w:r>
          </w:p>
        </w:tc>
      </w:tr>
      <w:tr>
        <w:trPr>
          <w:trHeight w:val="795"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客户名称：</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sz w:val="22"/>
                <w:szCs w:val="22"/>
              </w:rPr>
            </w:pPr>
            <w:r>
              <w:rPr>
                <w:rFonts w:cs="宋体" w:ascii="宋体" w:hAnsi="宋体"/>
                <w:color w:val="000000"/>
                <w:sz w:val="22"/>
                <w:szCs w:val="22"/>
              </w:rPr>
            </w:r>
          </w:p>
        </w:tc>
        <w:tc>
          <w:tcPr>
            <w:tcW w:w="1662" w:type="dxa"/>
            <w:tcBorders>
              <w:top w:val="single" w:sz="4" w:space="0" w:color="000000"/>
              <w:left w:val="single" w:sz="4" w:space="0" w:color="000000"/>
              <w:bottom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证件号码：</w:t>
            </w:r>
          </w:p>
        </w:tc>
        <w:tc>
          <w:tcPr>
            <w:tcW w:w="31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sz w:val="22"/>
                <w:szCs w:val="22"/>
              </w:rPr>
            </w:pPr>
            <w:r>
              <w:rPr>
                <w:rFonts w:cs="宋体" w:ascii="宋体" w:hAnsi="宋体"/>
                <w:color w:val="000000"/>
                <w:sz w:val="22"/>
                <w:szCs w:val="22"/>
              </w:rPr>
            </w:r>
          </w:p>
        </w:tc>
      </w:tr>
      <w:tr>
        <w:trPr>
          <w:trHeight w:val="795"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客户账号：</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sz w:val="22"/>
                <w:szCs w:val="22"/>
              </w:rPr>
            </w:pPr>
            <w:r>
              <w:rPr>
                <w:rFonts w:cs="宋体" w:ascii="宋体" w:hAnsi="宋体"/>
                <w:color w:val="000000"/>
                <w:sz w:val="22"/>
                <w:szCs w:val="22"/>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客户号：</w:t>
            </w:r>
          </w:p>
        </w:tc>
        <w:tc>
          <w:tcPr>
            <w:tcW w:w="31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sz w:val="22"/>
                <w:szCs w:val="22"/>
              </w:rPr>
            </w:pPr>
            <w:r>
              <w:rPr>
                <w:rFonts w:cs="宋体" w:ascii="宋体" w:hAnsi="宋体"/>
                <w:color w:val="000000"/>
                <w:sz w:val="22"/>
                <w:szCs w:val="22"/>
              </w:rPr>
            </w:r>
          </w:p>
        </w:tc>
      </w:tr>
      <w:tr>
        <w:trPr>
          <w:trHeight w:val="795"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账户类型：</w:t>
            </w:r>
          </w:p>
        </w:tc>
        <w:tc>
          <w:tcPr>
            <w:tcW w:w="75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核准类：□   非核准类：□</w:t>
            </w:r>
          </w:p>
        </w:tc>
      </w:tr>
      <w:tr>
        <w:trPr>
          <w:trHeight w:val="795"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客户类型：</w:t>
            </w:r>
          </w:p>
        </w:tc>
        <w:tc>
          <w:tcPr>
            <w:tcW w:w="75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 xml:space="preserve"> </w:t>
            </w:r>
            <w:r>
              <w:rPr>
                <w:rFonts w:ascii="宋体" w:hAnsi="宋体" w:cs="宋体"/>
                <w:color w:val="000000"/>
                <w:kern w:val="0"/>
                <w:sz w:val="22"/>
                <w:szCs w:val="22"/>
              </w:rPr>
              <w:t>对  公：□   对    私：□</w:t>
            </w:r>
          </w:p>
        </w:tc>
      </w:tr>
      <w:tr>
        <w:trPr>
          <w:trHeight w:val="795"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白名单维护类型：</w:t>
            </w:r>
          </w:p>
        </w:tc>
        <w:tc>
          <w:tcPr>
            <w:tcW w:w="75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rFonts w:ascii="宋体" w:hAnsi="宋体" w:cs="宋体"/>
                <w:color w:val="000000"/>
                <w:sz w:val="22"/>
                <w:szCs w:val="22"/>
              </w:rPr>
            </w:pPr>
            <w:r>
              <w:rPr>
                <w:rFonts w:ascii="宋体" w:hAnsi="宋体" w:cs="宋体"/>
                <w:color w:val="000000"/>
                <w:kern w:val="0"/>
                <w:sz w:val="22"/>
                <w:szCs w:val="22"/>
              </w:rPr>
              <w:t xml:space="preserve">                  </w:t>
            </w:r>
            <w:r>
              <w:rPr>
                <w:rFonts w:ascii="宋体" w:hAnsi="宋体" w:cs="宋体"/>
                <w:color w:val="000000"/>
                <w:kern w:val="0"/>
                <w:sz w:val="22"/>
                <w:szCs w:val="22"/>
              </w:rPr>
              <w:t>增  加：□   删   除：□</w:t>
            </w:r>
          </w:p>
        </w:tc>
      </w:tr>
      <w:tr>
        <w:trPr>
          <w:trHeight w:val="900"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白名单建立免检测类型：</w:t>
            </w:r>
          </w:p>
        </w:tc>
        <w:tc>
          <w:tcPr>
            <w:tcW w:w="75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大 额：□       可 疑：□    大额和可疑：□</w:t>
            </w:r>
          </w:p>
        </w:tc>
      </w:tr>
      <w:tr>
        <w:trPr>
          <w:trHeight w:val="855"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白名单维护原因：</w:t>
            </w:r>
          </w:p>
        </w:tc>
        <w:tc>
          <w:tcPr>
            <w:tcW w:w="7567" w:type="dxa"/>
            <w:gridSpan w:val="3"/>
            <w:tcBorders>
              <w:top w:val="single" w:sz="4" w:space="0" w:color="000000"/>
              <w:left w:val="single" w:sz="4" w:space="0" w:color="000000"/>
              <w:right w:val="single" w:sz="4" w:space="0" w:color="000000"/>
            </w:tcBorders>
            <w:vAlign w:val="bottom"/>
          </w:tcPr>
          <w:p>
            <w:pPr>
              <w:pStyle w:val="Normal"/>
              <w:widowControl/>
              <w:snapToGrid w:val="false"/>
              <w:jc w:val="right"/>
              <w:textAlignment w:val="bottom"/>
              <w:rPr>
                <w:rFonts w:ascii="宋体" w:hAnsi="宋体" w:cs="宋体"/>
                <w:color w:val="000000"/>
                <w:sz w:val="22"/>
                <w:szCs w:val="22"/>
              </w:rPr>
            </w:pPr>
            <w:r>
              <w:rPr>
                <w:rFonts w:cs="宋体" w:ascii="宋体" w:hAnsi="宋体"/>
                <w:color w:val="000000"/>
                <w:sz w:val="22"/>
                <w:szCs w:val="22"/>
              </w:rPr>
            </w:r>
          </w:p>
        </w:tc>
      </w:tr>
      <w:tr>
        <w:trPr>
          <w:trHeight w:val="1595" w:hRule="atLeast"/>
        </w:trPr>
        <w:tc>
          <w:tcPr>
            <w:tcW w:w="1911" w:type="dxa"/>
            <w:tcBorders>
              <w:top w:val="single" w:sz="4" w:space="0" w:color="000000"/>
              <w:left w:val="single" w:sz="4" w:space="0" w:color="000000"/>
              <w:bottom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申请单位（部门）   意见</w:t>
            </w:r>
          </w:p>
        </w:tc>
        <w:tc>
          <w:tcPr>
            <w:tcW w:w="2797" w:type="dxa"/>
            <w:tcBorders>
              <w:top w:val="single" w:sz="4" w:space="0" w:color="000000"/>
              <w:left w:val="single" w:sz="4" w:space="0" w:color="000000"/>
              <w:bottom w:val="single" w:sz="4" w:space="0" w:color="000000"/>
              <w:right w:val="single" w:sz="4" w:space="0" w:color="000000"/>
            </w:tcBorders>
          </w:tcPr>
          <w:p>
            <w:pPr>
              <w:pStyle w:val="Normal"/>
              <w:widowControl/>
              <w:jc w:val="left"/>
              <w:textAlignment w:val="top"/>
              <w:rPr>
                <w:rFonts w:ascii="宋体" w:hAnsi="宋体" w:cs="宋体"/>
                <w:color w:val="000000"/>
                <w:sz w:val="22"/>
                <w:szCs w:val="22"/>
              </w:rPr>
            </w:pPr>
            <w:r>
              <w:rPr>
                <w:rFonts w:ascii="宋体" w:hAnsi="宋体" w:cs="宋体"/>
                <w:color w:val="000000"/>
                <w:kern w:val="0"/>
                <w:sz w:val="22"/>
                <w:szCs w:val="22"/>
              </w:rPr>
              <w:t>运营主管意见：</w:t>
            </w:r>
          </w:p>
        </w:tc>
        <w:tc>
          <w:tcPr>
            <w:tcW w:w="4770" w:type="dxa"/>
            <w:gridSpan w:val="2"/>
            <w:tcBorders>
              <w:top w:val="single" w:sz="4" w:space="0" w:color="000000"/>
              <w:left w:val="single" w:sz="4" w:space="0" w:color="000000"/>
              <w:bottom w:val="single" w:sz="4" w:space="0" w:color="000000"/>
              <w:right w:val="single" w:sz="4" w:space="0" w:color="000000"/>
            </w:tcBorders>
          </w:tcPr>
          <w:p>
            <w:pPr>
              <w:pStyle w:val="Normal"/>
              <w:widowControl/>
              <w:jc w:val="left"/>
              <w:textAlignment w:val="top"/>
              <w:rPr>
                <w:rFonts w:ascii="宋体" w:hAnsi="宋体" w:cs="宋体"/>
                <w:color w:val="000000"/>
                <w:sz w:val="22"/>
                <w:szCs w:val="22"/>
              </w:rPr>
            </w:pPr>
            <w:r>
              <w:rPr>
                <w:rFonts w:ascii="宋体" w:hAnsi="宋体" w:cs="宋体"/>
                <w:color w:val="000000"/>
                <w:kern w:val="0"/>
                <w:sz w:val="22"/>
                <w:szCs w:val="22"/>
              </w:rPr>
              <w:t>负责人意见（加盖单位业务公章）：</w:t>
            </w:r>
          </w:p>
        </w:tc>
      </w:tr>
      <w:tr>
        <w:trPr>
          <w:trHeight w:val="1692"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反洗钱牵头部门   负责人审批意见</w:t>
            </w:r>
          </w:p>
        </w:tc>
        <w:tc>
          <w:tcPr>
            <w:tcW w:w="7567" w:type="dxa"/>
            <w:gridSpan w:val="3"/>
            <w:tcBorders>
              <w:left w:val="single" w:sz="4" w:space="0" w:color="000000"/>
              <w:bottom w:val="single" w:sz="4" w:space="0" w:color="000000"/>
              <w:right w:val="single" w:sz="4" w:space="0" w:color="000000"/>
            </w:tcBorders>
            <w:vAlign w:val="bottom"/>
          </w:tcPr>
          <w:p>
            <w:pPr>
              <w:pStyle w:val="Normal"/>
              <w:widowControl/>
              <w:jc w:val="right"/>
              <w:textAlignment w:val="bottom"/>
              <w:rPr>
                <w:rFonts w:ascii="宋体" w:hAnsi="宋体" w:cs="宋体"/>
                <w:color w:val="000000"/>
                <w:sz w:val="22"/>
                <w:szCs w:val="22"/>
              </w:rPr>
            </w:pPr>
            <w:r>
              <w:rPr>
                <w:rFonts w:ascii="宋体" w:hAnsi="宋体" w:cs="宋体"/>
                <w:color w:val="000000"/>
                <w:kern w:val="0"/>
                <w:sz w:val="22"/>
                <w:szCs w:val="22"/>
              </w:rPr>
              <w:t>年    月     日</w:t>
            </w:r>
          </w:p>
        </w:tc>
      </w:tr>
      <w:tr>
        <w:trPr>
          <w:trHeight w:val="1660" w:hRule="atLeast"/>
        </w:trPr>
        <w:tc>
          <w:tcPr>
            <w:tcW w:w="191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kern w:val="0"/>
                <w:sz w:val="22"/>
                <w:szCs w:val="22"/>
              </w:rPr>
              <w:t>反洗钱分管行长   审批意见</w:t>
            </w:r>
          </w:p>
        </w:tc>
        <w:tc>
          <w:tcPr>
            <w:tcW w:w="7567" w:type="dxa"/>
            <w:gridSpan w:val="3"/>
            <w:tcBorders>
              <w:top w:val="single" w:sz="4" w:space="0" w:color="000000"/>
              <w:left w:val="single" w:sz="4" w:space="0" w:color="000000"/>
              <w:bottom w:val="single" w:sz="4" w:space="0" w:color="000000"/>
              <w:right w:val="single" w:sz="4" w:space="0" w:color="000000"/>
            </w:tcBorders>
            <w:vAlign w:val="bottom"/>
          </w:tcPr>
          <w:p>
            <w:pPr>
              <w:pStyle w:val="Normal"/>
              <w:widowControl/>
              <w:jc w:val="right"/>
              <w:textAlignment w:val="bottom"/>
              <w:rPr>
                <w:rFonts w:ascii="宋体" w:hAnsi="宋体" w:cs="宋体"/>
                <w:color w:val="000000"/>
                <w:sz w:val="22"/>
                <w:szCs w:val="22"/>
              </w:rPr>
            </w:pPr>
            <w:r>
              <w:rPr>
                <w:rFonts w:ascii="宋体" w:hAnsi="宋体" w:cs="宋体"/>
                <w:color w:val="000000"/>
                <w:kern w:val="0"/>
                <w:sz w:val="22"/>
                <w:szCs w:val="22"/>
              </w:rPr>
              <w:t>年    月     日</w:t>
            </w:r>
          </w:p>
        </w:tc>
      </w:tr>
    </w:tbl>
    <w:p>
      <w:pPr>
        <w:pStyle w:val="Normal"/>
        <w:jc w:val="left"/>
        <w:rPr/>
      </w:pPr>
      <w:r>
        <w:rPr/>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Cambria">
    <w:charset w:val="00"/>
    <w:family w:val="roman"/>
    <w:pitch w:val="default"/>
  </w:font>
  <w:font w:name="宋体">
    <w:charset w:val="86"/>
    <w:family w:val="auto"/>
    <w:pitch w:val="default"/>
  </w:font>
  <w:font w:name="Liberation Sans">
    <w:altName w:val="Arial"/>
    <w:charset w:val="01"/>
    <w:family w:val="swiss"/>
    <w:pitch w:val="variable"/>
  </w:font>
  <w:font w:name="仿宋_GB2312">
    <w:altName w:val="仿宋"/>
    <w:charset w:val="86"/>
    <w:family w:val="modern"/>
    <w:pitch w:val="default"/>
  </w:font>
  <w:font w:name="方正小标宋简体">
    <w:altName w:val="宋体"/>
    <w:charset w:val="86"/>
    <w:family w:val="auto"/>
    <w:pitch w:val="default"/>
  </w:font>
  <w:font w:name="黑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taiwaneseCountingThousand"/>
      <w:suff w:val="space"/>
      <w:lvlText w:val="第%1章"/>
      <w:lvlJc w:val="left"/>
      <w:pPr>
        <w:tabs>
          <w:tab w:val="num" w:pos="0"/>
        </w:tabs>
        <w:ind w:left="0" w:hanging="0"/>
      </w:pPr>
    </w:lvl>
  </w:abstractNum>
  <w:abstractNum w:abstractNumId="3">
    <w:lvl w:ilvl="0">
      <w:start w:val="3"/>
      <w:numFmt w:val="taiwaneseCountingThousand"/>
      <w:suff w:val="space"/>
      <w:lvlText w:val="第%1章"/>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autoHyphenation w:val="true"/>
  <w:compat>
    <w:noLeading/>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2" w:before="260" w:after="260"/>
      <w:jc w:val="left"/>
      <w:outlineLvl w:val="2"/>
    </w:pPr>
    <w:rPr>
      <w:rFonts w:ascii="Cambria" w:hAnsi="Cambria" w:cs="宋体"/>
      <w:b/>
      <w:bCs/>
      <w:kern w:val="0"/>
      <w:sz w:val="32"/>
      <w:szCs w:val="32"/>
      <w:lang w:eastAsia="en-US" w:bidi="en-US"/>
    </w:rPr>
  </w:style>
  <w:style w:type="character" w:styleId="Style12">
    <w:name w:val="默认段落字体"/>
    <w:qFormat/>
    <w:rPr/>
  </w:style>
  <w:style w:type="character" w:styleId="PageNumber">
    <w:name w:val="Page Number"/>
    <w:basedOn w:val="Style12"/>
    <w:rPr/>
  </w:style>
  <w:style w:type="character" w:styleId="Font11">
    <w:name w:val="font11"/>
    <w:qFormat/>
    <w:rPr>
      <w:rFonts w:ascii="宋体" w:hAnsi="宋体" w:eastAsia="宋体" w:cs="宋体"/>
      <w:i w:val="false"/>
      <w:color w:val="000000"/>
      <w:sz w:val="22"/>
      <w:szCs w:val="22"/>
      <w:u w:val="none"/>
    </w:rPr>
  </w:style>
  <w:style w:type="character" w:styleId="2Char">
    <w:name w:val="标题 2 Char"/>
    <w:qFormat/>
    <w:rPr>
      <w:rFonts w:ascii="Calibri Light" w:hAnsi="Calibri Light" w:eastAsia="宋体"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日期"/>
    <w:basedOn w:val="Normal"/>
    <w:next w:val="Normal"/>
    <w:qFormat/>
    <w:pPr>
      <w:ind w:hanging="0" w:left="100" w:right="0"/>
    </w:pPr>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5">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dc:language>zh-CN</dc:language>
  <cp:lastModifiedBy/>
  <dcterms:modified xsi:type="dcterms:W3CDTF">2020-01-10T00:51:09Z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