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82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仿宋_GB2312;仿宋"/>
          <w:b/>
          <w:sz w:val="28"/>
          <w:szCs w:val="28"/>
        </w:rPr>
      </w:pPr>
      <w:r>
        <w:rPr>
          <w:rFonts w:eastAsia="仿宋_GB2312;仿宋"/>
          <w:b/>
          <w:sz w:val="28"/>
          <w:szCs w:val="28"/>
        </w:rPr>
        <w:t>xxx</w:t>
      </w:r>
      <w:r>
        <w:rPr>
          <w:rFonts w:eastAsia="仿宋_GB2312;仿宋"/>
          <w:b/>
          <w:sz w:val="28"/>
          <w:szCs w:val="28"/>
        </w:rPr>
        <w:t>银行</w:t>
      </w:r>
    </w:p>
    <w:p>
      <w:pPr>
        <w:pStyle w:val="Style9"/>
        <w:ind w:hanging="0" w:right="0"/>
        <w:rPr>
          <w:rFonts w:ascii="Times New Roman;Times New Roman" w:hAnsi="Times New Roman;Times New Roman" w:cs="Times New Roman;Times New Roman"/>
        </w:rPr>
      </w:pPr>
      <w:r>
        <w:rPr>
          <w:rFonts w:ascii="Times New Roman;Times New Roman" w:hAnsi="Times New Roman;Times New Roman" w:cs="Times New Roman;Times New Roman"/>
        </w:rPr>
        <w:t>现金收付监督管理办法</w:t>
      </w:r>
    </w:p>
    <w:p>
      <w:pPr>
        <w:pStyle w:val="Normal"/>
        <w:spacing w:lineRule="auto" w:line="360" w:before="156" w:after="0"/>
        <w:jc w:val="center"/>
        <w:rPr>
          <w:rFonts w:ascii="Times New Roman;Times New Roman" w:hAnsi="Times New Roman;Times New Roman" w:eastAsia="仿宋_GB2312;仿宋" w:cs="Times New Roman;Times New Roman"/>
          <w:b/>
          <w:sz w:val="28"/>
          <w:szCs w:val="28"/>
        </w:rPr>
      </w:pPr>
      <w:r>
        <w:rPr>
          <w:rFonts w:eastAsia="仿宋_GB2312;仿宋" w:cs="Times New Roman;Times New Roman"/>
          <w:b/>
          <w:sz w:val="28"/>
          <w:szCs w:val="28"/>
        </w:rPr>
      </w:r>
    </w:p>
    <w:p>
      <w:pPr>
        <w:pStyle w:val="Normal"/>
        <w:spacing w:lineRule="auto" w:line="360" w:before="156" w:after="0"/>
        <w:jc w:val="center"/>
        <w:rPr/>
      </w:pPr>
      <w:r>
        <w:rPr>
          <w:rFonts w:eastAsia="仿宋_GB2312;仿宋"/>
          <w:b/>
          <w:sz w:val="28"/>
          <w:szCs w:val="28"/>
        </w:rPr>
        <w:t>第一章</w:t>
      </w:r>
      <w:r>
        <w:rPr>
          <w:rFonts w:eastAsia="Times New Roman;Times New Roman"/>
          <w:b/>
          <w:sz w:val="28"/>
          <w:szCs w:val="28"/>
        </w:rPr>
        <w:t xml:space="preserve">  </w:t>
      </w:r>
      <w:r>
        <w:rPr>
          <w:rFonts w:eastAsia="仿宋_GB2312;仿宋"/>
          <w:b/>
          <w:sz w:val="28"/>
          <w:szCs w:val="28"/>
        </w:rPr>
        <w:t>总</w:t>
      </w:r>
      <w:r>
        <w:rPr>
          <w:rFonts w:eastAsia="Times New Roman;Times New Roman"/>
          <w:b/>
          <w:sz w:val="28"/>
          <w:szCs w:val="28"/>
        </w:rPr>
        <w:t xml:space="preserve">  </w:t>
      </w:r>
      <w:r>
        <w:rPr>
          <w:rFonts w:eastAsia="仿宋_GB2312;仿宋"/>
          <w:b/>
          <w:sz w:val="28"/>
          <w:szCs w:val="28"/>
        </w:rPr>
        <w:t>则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第一条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为进一步加强</w:t>
      </w:r>
      <w:r>
        <w:rPr>
          <w:rFonts w:eastAsia="仿宋_GB2312;仿宋"/>
          <w:sz w:val="28"/>
          <w:szCs w:val="28"/>
        </w:rPr>
        <w:t>xxx</w:t>
      </w:r>
      <w:r>
        <w:rPr>
          <w:rFonts w:eastAsia="仿宋_GB2312;仿宋"/>
          <w:sz w:val="28"/>
          <w:szCs w:val="28"/>
        </w:rPr>
        <w:t>银行（以下简称“本行”）人民币现金收付的柜面监督，维护正常的金融秩序以及存款人的合法权益，防范和打击利用大额现金支付进行的经济犯罪活动，根据《现金管理暂行条例》、</w:t>
      </w:r>
      <w:r>
        <w:rPr>
          <w:rFonts w:eastAsia="仿宋_GB2312;仿宋"/>
          <w:sz w:val="28"/>
          <w:szCs w:val="28"/>
        </w:rPr>
        <w:t>中</w:t>
      </w:r>
      <w:r>
        <w:rPr>
          <w:rFonts w:eastAsia="仿宋_GB2312;仿宋"/>
          <w:sz w:val="28"/>
          <w:szCs w:val="28"/>
        </w:rPr>
        <w:t>国人民银行南京分行《商业银行现金收付柜面监督办法》</w:t>
      </w:r>
      <w:r>
        <w:rPr>
          <w:rFonts w:eastAsia="仿宋_GB2312;仿宋"/>
          <w:sz w:val="28"/>
          <w:szCs w:val="28"/>
        </w:rPr>
        <w:t>、</w:t>
      </w:r>
      <w:r>
        <w:rPr>
          <w:rFonts w:eastAsia="仿宋_GB2312;仿宋"/>
          <w:sz w:val="28"/>
          <w:szCs w:val="28"/>
        </w:rPr>
        <w:t>反洗钱</w:t>
      </w:r>
      <w:r>
        <w:rPr>
          <w:rFonts w:eastAsia="仿宋_GB2312;仿宋"/>
          <w:sz w:val="28"/>
          <w:szCs w:val="28"/>
        </w:rPr>
        <w:t>法律</w:t>
      </w:r>
      <w:r>
        <w:rPr>
          <w:rFonts w:eastAsia="仿宋_GB2312;仿宋"/>
          <w:sz w:val="28"/>
          <w:szCs w:val="28"/>
        </w:rPr>
        <w:t>法规</w:t>
      </w:r>
      <w:r>
        <w:rPr>
          <w:rFonts w:eastAsia="仿宋_GB2312;仿宋"/>
          <w:sz w:val="28"/>
          <w:szCs w:val="28"/>
        </w:rPr>
        <w:t>及相关</w:t>
      </w:r>
      <w:r>
        <w:rPr>
          <w:rFonts w:eastAsia="仿宋_GB2312;仿宋"/>
          <w:sz w:val="28"/>
          <w:szCs w:val="28"/>
        </w:rPr>
        <w:t>规定，结合本行实际，制定本管理办法。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第二条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现金收付监督管理是指本行对客户大额现金收付实施客户预约、审批、备案等监督管理的一种制度。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以下大额现金收付行为属于监督管理范畴：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（一）向开户单位一次性支付或在一个工作日内累计支付</w:t>
      </w:r>
      <w:r>
        <w:rPr>
          <w:rFonts w:eastAsia="仿宋_GB2312;仿宋"/>
          <w:sz w:val="28"/>
          <w:szCs w:val="28"/>
        </w:rPr>
        <w:t>5</w:t>
      </w:r>
      <w:r>
        <w:rPr>
          <w:rFonts w:eastAsia="仿宋_GB2312;仿宋"/>
          <w:sz w:val="28"/>
          <w:szCs w:val="28"/>
        </w:rPr>
        <w:t>万元（含）以上人民币现金的；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（二）向个人一次性支付或在一个工作日内累计支付</w:t>
      </w:r>
      <w:r>
        <w:rPr>
          <w:rFonts w:eastAsia="仿宋_GB2312;仿宋"/>
          <w:sz w:val="28"/>
          <w:szCs w:val="28"/>
        </w:rPr>
        <w:t>5</w:t>
      </w:r>
      <w:r>
        <w:rPr>
          <w:rFonts w:eastAsia="仿宋_GB2312;仿宋"/>
          <w:sz w:val="28"/>
          <w:szCs w:val="28"/>
        </w:rPr>
        <w:t>万元（不含）以上人民币现金的；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（三）接受个人单笔金额超过</w:t>
      </w:r>
      <w:r>
        <w:rPr>
          <w:rFonts w:eastAsia="仿宋_GB2312;仿宋"/>
          <w:sz w:val="28"/>
          <w:szCs w:val="28"/>
        </w:rPr>
        <w:t>20</w:t>
      </w:r>
      <w:r>
        <w:rPr>
          <w:rFonts w:eastAsia="仿宋_GB2312;仿宋"/>
          <w:sz w:val="28"/>
          <w:szCs w:val="28"/>
        </w:rPr>
        <w:t>万元（含）人民币存款的。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第三条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本办法适用于本行办理人民币现金业务的各支行（部）。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第四条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凡在各支行（部）开立账户的机关、团体、部队、企业、事业单位和其他单位（简称“开户单位”）以及个人都必须接受本行的现金收付监督管理。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spacing w:lineRule="auto" w:line="360" w:before="156" w:after="0"/>
        <w:jc w:val="center"/>
        <w:rPr/>
      </w:pPr>
      <w:r>
        <w:rPr>
          <w:rFonts w:eastAsia="仿宋_GB2312;仿宋"/>
          <w:b/>
          <w:sz w:val="28"/>
          <w:szCs w:val="28"/>
        </w:rPr>
        <w:t>第二章</w:t>
      </w:r>
      <w:r>
        <w:rPr>
          <w:rFonts w:eastAsia="Times New Roman;Times New Roman"/>
          <w:b/>
          <w:sz w:val="28"/>
          <w:szCs w:val="28"/>
        </w:rPr>
        <w:t xml:space="preserve">   </w:t>
      </w:r>
      <w:r>
        <w:rPr>
          <w:rFonts w:eastAsia="仿宋_GB2312;仿宋"/>
          <w:b/>
          <w:sz w:val="28"/>
          <w:szCs w:val="28"/>
        </w:rPr>
        <w:t>客户现金收付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第五条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加强对开户单位现金支取的柜面监督，严格执行对公账户现金支付管理的各项规定，认真审查开户单位的现金使用范围，不得违反人民银行《现金管理条例》及现金支付相关规定为客户办理现金支付业务。各支行（部）可为开立基本存款账户的客户在下列现金使用范围内办理现金收付：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（一）职工工资、各种工资性津贴；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（二）个人劳务报酬，包括稿费、讲课费及其他专业工作报酬；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（三）支付给个人的各种奖金，包括根据国家规定颁发给个人的科学技术、文化艺术、体育等各种奖金；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（四）各种劳保、福利费用以及国家规定的对个人的其他支出；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（五）向个人收购农副产品和其他物资的价款；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（六）出差人员必须随身携带的差旅费；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（七）限额</w:t>
      </w:r>
      <w:r>
        <w:rPr>
          <w:rFonts w:eastAsia="仿宋_GB2312;仿宋"/>
          <w:sz w:val="28"/>
          <w:szCs w:val="28"/>
        </w:rPr>
        <w:t>10000</w:t>
      </w:r>
      <w:r>
        <w:rPr>
          <w:rFonts w:eastAsia="仿宋_GB2312;仿宋"/>
          <w:sz w:val="28"/>
          <w:szCs w:val="28"/>
        </w:rPr>
        <w:t>元以下的零星支出；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（八）因采购地点不确定、交通不便、抢险救灾及其他特殊确需使用现金的。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开户单位因前款第五项所列原因办理转账结算不够方便，必须使用现金的应向本行提出书面申请，由开户单位财务部门负责人签字盖章，经支行（部）审查批准后，予以支付现金。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第六条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各支行（部）对开立一般存款账户的开户单位不予出售现金支票和支付现金业务；专用存款账户和临时存款账户未经人行批准一律不得提取现金；对收款人或付款人为单位的，不得签发和解付现金银行汇票和现金银行本票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第七条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因生产经营需要，各支行（部）为个体经营者签发现金银行汇票或银行本票。单张现金银行汇票或银行本票的金额超过</w:t>
      </w:r>
      <w:r>
        <w:rPr>
          <w:rFonts w:eastAsia="仿宋_GB2312;仿宋"/>
          <w:sz w:val="28"/>
          <w:szCs w:val="28"/>
        </w:rPr>
        <w:t>30</w:t>
      </w:r>
      <w:r>
        <w:rPr>
          <w:rFonts w:eastAsia="仿宋_GB2312;仿宋"/>
          <w:sz w:val="28"/>
          <w:szCs w:val="28"/>
        </w:rPr>
        <w:t>万元（不含）或一日内同一收款人签发两张以上（不含）的现金银行汇票或银行本票，须由本行批准，并报人民银行当地分支机构备案。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第八条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凡是单位持有的银行卡，在使用过程中需要存入资金的，必须从单位的基本存款账户中转入，不得缴存现金。对存入单位银行卡中的转账支票，必须将收款单位账户名称填写清楚，不得将发卡的开户行作为收款人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第九条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严禁各支行（部）为单位持有的银行卡支付现金。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spacing w:lineRule="auto" w:line="360" w:before="156" w:after="0"/>
        <w:jc w:val="center"/>
        <w:rPr/>
      </w:pPr>
      <w:r>
        <w:rPr>
          <w:rFonts w:eastAsia="仿宋_GB2312;仿宋"/>
          <w:b/>
          <w:sz w:val="28"/>
          <w:szCs w:val="28"/>
        </w:rPr>
        <w:t>第三章</w:t>
      </w:r>
      <w:r>
        <w:rPr>
          <w:rFonts w:eastAsia="Times New Roman;Times New Roman"/>
          <w:b/>
          <w:sz w:val="28"/>
          <w:szCs w:val="28"/>
        </w:rPr>
        <w:t xml:space="preserve">  </w:t>
      </w:r>
      <w:r>
        <w:rPr>
          <w:rFonts w:eastAsia="仿宋_GB2312;仿宋"/>
          <w:b/>
          <w:sz w:val="28"/>
          <w:szCs w:val="28"/>
        </w:rPr>
        <w:t>大额现金收付审批、登记和备案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第十条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开户单位提取大额现金（工资性现金、农副产品采购现金支取除外），必须填写《大额现金支取登记审批表》，主要内容包括账户性质、提现单位名称、账号、提现人姓名、证件号码、支取时间、金额、用途等。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各支行（部）严格按规定审查客户大额现金的用途和范围。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第十一条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大额现金支付分级审批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提取现金额度在</w:t>
      </w:r>
      <w:r>
        <w:rPr>
          <w:rFonts w:eastAsia="仿宋_GB2312;仿宋"/>
          <w:sz w:val="28"/>
          <w:szCs w:val="28"/>
        </w:rPr>
        <w:t>5</w:t>
      </w:r>
      <w:r>
        <w:rPr>
          <w:rFonts w:eastAsia="仿宋_GB2312;仿宋"/>
          <w:sz w:val="28"/>
          <w:szCs w:val="28"/>
        </w:rPr>
        <w:t>万元（不含）以内的由柜员直接审核支付；提取现金额度在</w:t>
      </w:r>
      <w:r>
        <w:rPr>
          <w:rFonts w:eastAsia="仿宋_GB2312;仿宋"/>
          <w:sz w:val="28"/>
          <w:szCs w:val="28"/>
        </w:rPr>
        <w:t>5</w:t>
      </w:r>
      <w:r>
        <w:rPr>
          <w:rFonts w:eastAsia="仿宋_GB2312;仿宋"/>
          <w:sz w:val="28"/>
          <w:szCs w:val="28"/>
        </w:rPr>
        <w:t>万元（含）以上</w:t>
      </w:r>
      <w:r>
        <w:rPr>
          <w:rFonts w:eastAsia="仿宋_GB2312;仿宋"/>
          <w:sz w:val="28"/>
          <w:szCs w:val="28"/>
        </w:rPr>
        <w:t>50</w:t>
      </w:r>
      <w:r>
        <w:rPr>
          <w:rFonts w:eastAsia="仿宋_GB2312;仿宋"/>
          <w:sz w:val="28"/>
          <w:szCs w:val="28"/>
        </w:rPr>
        <w:t>万元（不含）以下的大额现金支取，经柜面经办人员以及支行（部）运营主管二级审核后，由支行（部）负责人审批；提取现金额度在</w:t>
      </w:r>
      <w:r>
        <w:rPr>
          <w:rFonts w:eastAsia="仿宋_GB2312;仿宋"/>
          <w:sz w:val="28"/>
          <w:szCs w:val="28"/>
        </w:rPr>
        <w:t>50</w:t>
      </w:r>
      <w:r>
        <w:rPr>
          <w:rFonts w:eastAsia="仿宋_GB2312;仿宋"/>
          <w:sz w:val="28"/>
          <w:szCs w:val="28"/>
        </w:rPr>
        <w:t>万元（含）以上</w:t>
      </w:r>
      <w:r>
        <w:rPr>
          <w:rFonts w:eastAsia="仿宋_GB2312;仿宋"/>
          <w:sz w:val="28"/>
          <w:szCs w:val="28"/>
        </w:rPr>
        <w:t>100</w:t>
      </w:r>
      <w:r>
        <w:rPr>
          <w:rFonts w:eastAsia="仿宋_GB2312;仿宋"/>
          <w:sz w:val="28"/>
          <w:szCs w:val="28"/>
        </w:rPr>
        <w:t>万元（不含）以下的大额现金支取，填写大额现金支取登记审批表，由各支行（部）负责人审批或经本行授权后由运营主管审批；提取现金额度</w:t>
      </w:r>
      <w:r>
        <w:rPr>
          <w:rFonts w:eastAsia="仿宋_GB2312;仿宋"/>
          <w:sz w:val="28"/>
          <w:szCs w:val="28"/>
        </w:rPr>
        <w:t>100</w:t>
      </w:r>
      <w:r>
        <w:rPr>
          <w:rFonts w:eastAsia="仿宋_GB2312;仿宋"/>
          <w:sz w:val="28"/>
          <w:szCs w:val="28"/>
        </w:rPr>
        <w:t>万元（含）以上，除履行</w:t>
      </w:r>
      <w:r>
        <w:rPr>
          <w:rFonts w:eastAsia="仿宋_GB2312;仿宋"/>
          <w:sz w:val="28"/>
          <w:szCs w:val="28"/>
        </w:rPr>
        <w:t>50-100</w:t>
      </w:r>
      <w:r>
        <w:rPr>
          <w:rFonts w:eastAsia="仿宋_GB2312;仿宋"/>
          <w:sz w:val="28"/>
          <w:szCs w:val="28"/>
        </w:rPr>
        <w:t>万元的大额现金支取审批手续外，填写大额现金支取登记审批表，由本行授权行长或运营主管审批。现金分级审批需逐级履行手续，严禁越权审批。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前款规定的“</w:t>
      </w:r>
      <w:r>
        <w:rPr>
          <w:rFonts w:eastAsia="仿宋_GB2312;仿宋"/>
          <w:sz w:val="28"/>
          <w:szCs w:val="28"/>
        </w:rPr>
        <w:t>5</w:t>
      </w:r>
      <w:r>
        <w:rPr>
          <w:rFonts w:eastAsia="仿宋_GB2312;仿宋"/>
          <w:sz w:val="28"/>
          <w:szCs w:val="28"/>
        </w:rPr>
        <w:t>万元”指本息合计数。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第十二条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各支行（部）为单位客户办理</w:t>
      </w:r>
      <w:r>
        <w:rPr>
          <w:rFonts w:eastAsia="仿宋_GB2312;仿宋"/>
          <w:sz w:val="28"/>
          <w:szCs w:val="28"/>
        </w:rPr>
        <w:t>5</w:t>
      </w:r>
      <w:r>
        <w:rPr>
          <w:rFonts w:eastAsia="仿宋_GB2312;仿宋"/>
          <w:sz w:val="28"/>
          <w:szCs w:val="28"/>
        </w:rPr>
        <w:t>万元（含）以上、个人客户</w:t>
      </w:r>
      <w:r>
        <w:rPr>
          <w:rFonts w:eastAsia="仿宋_GB2312;仿宋"/>
          <w:sz w:val="28"/>
          <w:szCs w:val="28"/>
        </w:rPr>
        <w:t>20</w:t>
      </w:r>
      <w:r>
        <w:rPr>
          <w:rFonts w:eastAsia="仿宋_GB2312;仿宋"/>
          <w:sz w:val="28"/>
          <w:szCs w:val="28"/>
        </w:rPr>
        <w:t>万元（含）以上大额取现业务至少提前一天预约登记。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第十三条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大额现金备案按《金融机构大额交易和可疑交易报告管理办法》执行，按规定向相关部门报备。</w:t>
      </w:r>
    </w:p>
    <w:p>
      <w:pPr>
        <w:pStyle w:val="Normal"/>
        <w:spacing w:lineRule="auto" w:line="360" w:before="156" w:after="0"/>
        <w:jc w:val="center"/>
        <w:rPr>
          <w:rFonts w:eastAsia="仿宋_GB2312;仿宋"/>
          <w:b/>
          <w:sz w:val="28"/>
          <w:szCs w:val="28"/>
        </w:rPr>
      </w:pPr>
      <w:r>
        <w:rPr>
          <w:rFonts w:eastAsia="仿宋_GB2312;仿宋"/>
          <w:b/>
          <w:sz w:val="28"/>
          <w:szCs w:val="28"/>
        </w:rPr>
      </w:r>
    </w:p>
    <w:p>
      <w:pPr>
        <w:pStyle w:val="Normal"/>
        <w:spacing w:lineRule="auto" w:line="360" w:before="156" w:after="0"/>
        <w:jc w:val="center"/>
        <w:rPr>
          <w:b/>
          <w:sz w:val="28"/>
          <w:szCs w:val="28"/>
        </w:rPr>
      </w:pPr>
      <w:r>
        <w:rPr>
          <w:rFonts w:eastAsia="仿宋_GB2312;仿宋"/>
          <w:b/>
          <w:sz w:val="28"/>
          <w:szCs w:val="28"/>
        </w:rPr>
        <w:t>第四章</w:t>
      </w:r>
      <w:r>
        <w:rPr>
          <w:rFonts w:eastAsia="Times New Roman;Times New Roman"/>
          <w:b/>
          <w:sz w:val="28"/>
          <w:szCs w:val="28"/>
        </w:rPr>
        <w:t xml:space="preserve">   </w:t>
      </w:r>
      <w:r>
        <w:rPr>
          <w:rFonts w:eastAsia="仿宋_GB2312;仿宋"/>
          <w:b/>
          <w:sz w:val="28"/>
          <w:szCs w:val="28"/>
        </w:rPr>
        <w:t>内控制度建设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  <w:t>第十四条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各支行（部）必须加强现金管理，提高现金收付管理重要性的认识。严禁现金科目透支，大额取现转存业务必须按照先取后存的流程操作。凡能够通过交易码实现转存及卡卡转账的业务，需统一通过交易码执行。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第十五条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各支行（部）严格按照本办法和人行有关规定做好现金管理工作，认真执行审批、备案制度，及时上报有关现金管理报表。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第十六条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加强对现金使用的管理，坚决制止逆程序违规操作，确保现金收支活动的真实性、合法性、合理性，确保金融市场稳定。</w:t>
      </w:r>
    </w:p>
    <w:p>
      <w:pPr>
        <w:pStyle w:val="Normal"/>
        <w:spacing w:lineRule="auto" w:line="36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spacing w:lineRule="auto" w:line="360" w:before="156" w:after="0"/>
        <w:jc w:val="center"/>
        <w:rPr/>
      </w:pPr>
      <w:r>
        <w:rPr>
          <w:rFonts w:eastAsia="仿宋_GB2312;仿宋"/>
          <w:b/>
          <w:sz w:val="28"/>
          <w:szCs w:val="28"/>
        </w:rPr>
        <w:t>第五章</w:t>
      </w:r>
      <w:r>
        <w:rPr>
          <w:rFonts w:eastAsia="Times New Roman;Times New Roman"/>
          <w:b/>
          <w:sz w:val="28"/>
          <w:szCs w:val="28"/>
        </w:rPr>
        <w:t xml:space="preserve">   </w:t>
      </w:r>
      <w:r>
        <w:rPr>
          <w:rFonts w:eastAsia="仿宋_GB2312;仿宋"/>
          <w:b/>
          <w:sz w:val="28"/>
          <w:szCs w:val="28"/>
        </w:rPr>
        <w:t>附</w:t>
      </w:r>
      <w:r>
        <w:rPr>
          <w:rFonts w:eastAsia="Times New Roman;Times New Roman"/>
          <w:b/>
          <w:sz w:val="28"/>
          <w:szCs w:val="28"/>
        </w:rPr>
        <w:t xml:space="preserve">  </w:t>
      </w:r>
      <w:r>
        <w:rPr>
          <w:rFonts w:eastAsia="仿宋_GB2312;仿宋"/>
          <w:b/>
          <w:sz w:val="28"/>
          <w:szCs w:val="28"/>
        </w:rPr>
        <w:t>则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第十七条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本办法由</w:t>
      </w:r>
      <w:r>
        <w:rPr>
          <w:rFonts w:eastAsia="仿宋_GB2312;仿宋"/>
          <w:sz w:val="28"/>
          <w:szCs w:val="28"/>
        </w:rPr>
        <w:t>xxx</w:t>
      </w:r>
      <w:r>
        <w:rPr>
          <w:rFonts w:eastAsia="仿宋_GB2312;仿宋"/>
          <w:sz w:val="28"/>
          <w:szCs w:val="28"/>
        </w:rPr>
        <w:t>银行运营管理部负责解释和修订。</w:t>
      </w:r>
    </w:p>
    <w:p>
      <w:pPr>
        <w:pStyle w:val="Normal"/>
        <w:spacing w:lineRule="auto" w:line="360"/>
        <w:ind w:firstLine="528" w:right="0"/>
        <w:rPr/>
      </w:pPr>
      <w:r>
        <w:rPr>
          <w:rFonts w:eastAsia="仿宋_GB2312;仿宋"/>
          <w:sz w:val="28"/>
          <w:szCs w:val="28"/>
        </w:rPr>
        <w:t>第十八条</w:t>
      </w:r>
      <w:r>
        <w:rPr>
          <w:rFonts w:eastAsia="Times New Roman;Times New Roman"/>
          <w:sz w:val="28"/>
          <w:szCs w:val="28"/>
        </w:rPr>
        <w:t xml:space="preserve">  </w:t>
      </w:r>
      <w:r>
        <w:rPr>
          <w:rFonts w:eastAsia="仿宋_GB2312;仿宋"/>
          <w:sz w:val="28"/>
          <w:szCs w:val="28"/>
        </w:rPr>
        <w:t>本办法</w:t>
      </w:r>
      <w:r>
        <w:rPr>
          <w:rFonts w:eastAsia="仿宋_GB2312;仿宋"/>
          <w:sz w:val="28"/>
          <w:szCs w:val="28"/>
        </w:rPr>
        <w:t>自发文之日起施行</w:t>
      </w:r>
      <w:r>
        <w:rPr>
          <w:rFonts w:eastAsia="仿宋_GB2312;仿宋"/>
          <w:sz w:val="28"/>
          <w:szCs w:val="28"/>
        </w:rPr>
        <w:t>。</w:t>
      </w:r>
    </w:p>
    <w:p>
      <w:pPr>
        <w:pStyle w:val="Normal"/>
        <w:spacing w:lineRule="exact" w:line="62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spacing w:lineRule="exact" w:line="62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spacing w:lineRule="exact" w:line="62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spacing w:lineRule="exact" w:line="62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spacing w:lineRule="exact" w:line="53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spacing w:lineRule="exact" w:line="53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p>
      <w:pPr>
        <w:pStyle w:val="Normal"/>
        <w:spacing w:lineRule="exact" w:line="530"/>
        <w:ind w:firstLine="528" w:right="0"/>
        <w:rPr>
          <w:rFonts w:eastAsia="仿宋_GB2312;仿宋"/>
          <w:sz w:val="28"/>
          <w:szCs w:val="28"/>
        </w:rPr>
      </w:pPr>
      <w:r>
        <w:rPr>
          <w:rFonts w:eastAsia="仿宋_GB2312;仿宋"/>
          <w:sz w:val="28"/>
          <w:szCs w:val="28"/>
        </w:rPr>
      </w:r>
    </w:p>
    <w:sectPr>
      <w:footerReference w:type="default" r:id="rId2"/>
      <w:type w:val="nextPage"/>
      <w:pgSz w:w="11906" w:h="16838"/>
      <w:pgMar w:left="1588" w:right="1588" w:gutter="0" w:header="0" w:top="1814" w:footer="992" w:bottom="1588"/>
      <w:pgNumType w:fmt="decimal"/>
      <w:formProt w:val="false"/>
      <w:textDirection w:val="lrTb"/>
      <w:docGrid w:type="linesAndChars" w:linePitch="312" w:charSpace="429496401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仿宋_GB2312">
    <w:altName w:val="仿宋"/>
    <w:charset w:val="86"/>
    <w:family w:val="modern"/>
    <w:pitch w:val="default"/>
  </w:font>
  <w:font w:name="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7560" w:right="0"/>
      <w:rPr>
        <w:rFonts w:ascii="宋体;宋体" w:hAnsi="宋体;宋体" w:cs="宋体;宋体"/>
        <w:sz w:val="24"/>
        <w:szCs w:val="24"/>
      </w:rPr>
    </w:pPr>
    <w:r>
      <w:rPr>
        <w:rFonts w:cs="宋体;宋体" w:ascii="宋体;宋体" w:hAnsi="宋体;宋体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center"/>
      <w:pPr>
        <w:tabs>
          <w:tab w:val="num" w:pos="0"/>
        </w:tabs>
        <w:ind w:left="0" w:firstLine="288"/>
      </w:pPr>
    </w:lvl>
    <w:lvl w:ilvl="1">
      <w:start w:val="1"/>
      <w:pStyle w:val="Heading2"/>
      <w:numFmt w:val="taiwaneseCountingThousand"/>
      <w:lvlText w:val="%2、"/>
      <w:lvlJc w:val="left"/>
      <w:pPr>
        <w:tabs>
          <w:tab w:val="num" w:pos="0"/>
        </w:tabs>
        <w:ind w:left="0" w:firstLine="607"/>
      </w:pPr>
    </w:lvl>
    <w:lvl w:ilvl="2">
      <w:start w:val="1"/>
      <w:pStyle w:val="Heading3"/>
      <w:numFmt w:val="decimal"/>
      <w:lvlText w:val="%3、"/>
      <w:lvlJc w:val="left"/>
      <w:pPr>
        <w:tabs>
          <w:tab w:val="num" w:pos="0"/>
        </w:tabs>
        <w:ind w:left="0" w:firstLine="624"/>
      </w:pPr>
    </w:lvl>
    <w:lvl w:ilvl="3">
      <w:start w:val="1"/>
      <w:pStyle w:val="Heading4"/>
      <w:numFmt w:val="decimal"/>
      <w:lvlText w:val="%4)"/>
      <w:lvlJc w:val="left"/>
      <w:pPr>
        <w:tabs>
          <w:tab w:val="num" w:pos="0"/>
        </w:tabs>
        <w:ind w:left="0" w:firstLine="607"/>
      </w:pPr>
    </w:lvl>
    <w:lvl w:ilvl="4">
      <w:start w:val="1"/>
      <w:pStyle w:val="Heading5"/>
      <w:numFmt w:val="decimal"/>
      <w:lvlText w:val="%5)"/>
      <w:lvlJc w:val="left"/>
      <w:pPr>
        <w:tabs>
          <w:tab w:val="num" w:pos="0"/>
        </w:tabs>
        <w:ind w:left="0" w:firstLine="624"/>
      </w:pPr>
    </w:lvl>
    <w:lvl w:ilvl="5">
      <w:start w:val="1"/>
      <w:pStyle w:val="Heading6"/>
      <w:numFmt w:val="lowerLetter"/>
      <w:lvlText w:val="%6)"/>
      <w:lvlJc w:val="left"/>
      <w:pPr>
        <w:tabs>
          <w:tab w:val="num" w:pos="1800"/>
        </w:tabs>
        <w:ind w:left="1800" w:hanging="360"/>
      </w:pPr>
    </w:lvl>
    <w:lvl w:ilvl="6">
      <w:start w:val="1"/>
      <w:pStyle w:val="Heading7"/>
      <w:numFmt w:val="lowerRoman"/>
      <w:lvlText w:val="%7)"/>
      <w:lvlJc w:val="left"/>
      <w:pPr>
        <w:tabs>
          <w:tab w:val="num" w:pos="21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Times New Roman" w:hAnsi="Times New Roman;Times New Roman" w:eastAsia="宋体;宋体" w:cs="Times New Roman;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widowControl/>
      <w:numPr>
        <w:ilvl w:val="0"/>
        <w:numId w:val="1"/>
      </w:numPr>
      <w:snapToGrid w:val="false"/>
      <w:jc w:val="center"/>
      <w:outlineLvl w:val="0"/>
    </w:pPr>
    <w:rPr>
      <w:rFonts w:eastAsia="方正小标宋简体;宋体"/>
      <w:color w:val="000000"/>
      <w:sz w:val="44"/>
      <w:szCs w:val="20"/>
    </w:rPr>
  </w:style>
  <w:style w:type="paragraph" w:styleId="Heading2">
    <w:name w:val="Heading 2"/>
    <w:basedOn w:val="Normal"/>
    <w:next w:val="Normal"/>
    <w:qFormat/>
    <w:pPr>
      <w:widowControl/>
      <w:numPr>
        <w:ilvl w:val="1"/>
        <w:numId w:val="1"/>
      </w:numPr>
      <w:snapToGrid w:val="false"/>
      <w:spacing w:lineRule="exact" w:line="566" w:before="260" w:after="260"/>
      <w:jc w:val="center"/>
      <w:outlineLvl w:val="1"/>
    </w:pPr>
    <w:rPr>
      <w:rFonts w:ascii="Arial;Arial" w:hAnsi="Arial;Arial" w:eastAsia="永中黑体;Times New Roman" w:cs="Arial;Arial"/>
      <w:color w:val="000000"/>
      <w:sz w:val="32"/>
      <w:szCs w:val="20"/>
    </w:rPr>
  </w:style>
  <w:style w:type="paragraph" w:styleId="Heading3">
    <w:name w:val="Heading 3"/>
    <w:basedOn w:val="Normal"/>
    <w:next w:val="Normal"/>
    <w:qFormat/>
    <w:pPr>
      <w:widowControl/>
      <w:numPr>
        <w:ilvl w:val="2"/>
        <w:numId w:val="1"/>
      </w:numPr>
      <w:snapToGrid w:val="false"/>
      <w:spacing w:lineRule="exact" w:line="566" w:before="113" w:after="113"/>
      <w:outlineLvl w:val="2"/>
    </w:pPr>
    <w:rPr>
      <w:rFonts w:eastAsia="永中楷体;Times New Roman"/>
      <w:color w:val="000000"/>
      <w:sz w:val="32"/>
      <w:szCs w:val="20"/>
    </w:rPr>
  </w:style>
  <w:style w:type="paragraph" w:styleId="Heading4">
    <w:name w:val="Heading 4"/>
    <w:basedOn w:val="Normal"/>
    <w:next w:val="Normal"/>
    <w:qFormat/>
    <w:pPr>
      <w:widowControl/>
      <w:numPr>
        <w:ilvl w:val="3"/>
        <w:numId w:val="1"/>
      </w:numPr>
      <w:snapToGrid w:val="false"/>
      <w:spacing w:lineRule="exact" w:line="566"/>
      <w:outlineLvl w:val="3"/>
    </w:pPr>
    <w:rPr>
      <w:rFonts w:ascii="Arial;Arial" w:hAnsi="Arial;Arial" w:eastAsia="永中仿宋;Times New Roman" w:cs="Arial;Arial"/>
      <w:b/>
      <w:color w:val="000000"/>
      <w:sz w:val="32"/>
      <w:szCs w:val="20"/>
    </w:rPr>
  </w:style>
  <w:style w:type="paragraph" w:styleId="Heading5">
    <w:name w:val="Heading 5"/>
    <w:basedOn w:val="Normal"/>
    <w:next w:val="Normal"/>
    <w:qFormat/>
    <w:pPr>
      <w:widowControl/>
      <w:numPr>
        <w:ilvl w:val="4"/>
        <w:numId w:val="1"/>
      </w:numPr>
      <w:snapToGrid w:val="false"/>
      <w:spacing w:lineRule="exact" w:line="566" w:before="260" w:after="260"/>
      <w:outlineLvl w:val="4"/>
    </w:pPr>
    <w:rPr>
      <w:rFonts w:eastAsia="永中仿宋;Times New Roman"/>
      <w:b/>
      <w:color w:val="000000"/>
      <w:sz w:val="28"/>
      <w:szCs w:val="20"/>
    </w:rPr>
  </w:style>
  <w:style w:type="paragraph" w:styleId="Heading6">
    <w:name w:val="Heading 6"/>
    <w:basedOn w:val="Normal"/>
    <w:next w:val="Normal"/>
    <w:qFormat/>
    <w:pPr>
      <w:widowControl/>
      <w:numPr>
        <w:ilvl w:val="5"/>
        <w:numId w:val="1"/>
      </w:numPr>
      <w:snapToGrid w:val="false"/>
      <w:spacing w:lineRule="exact" w:line="566" w:before="240" w:after="60"/>
      <w:outlineLvl w:val="5"/>
    </w:pPr>
    <w:rPr>
      <w:rFonts w:ascii="Arial;Arial" w:hAnsi="Arial;Arial" w:eastAsia="永中黑体;Times New Roman" w:cs="Arial;Arial"/>
      <w:b/>
      <w:color w:val="000000"/>
      <w:sz w:val="32"/>
      <w:szCs w:val="20"/>
    </w:rPr>
  </w:style>
  <w:style w:type="paragraph" w:styleId="Heading7">
    <w:name w:val="Heading 7"/>
    <w:basedOn w:val="Normal"/>
    <w:next w:val="Normal"/>
    <w:qFormat/>
    <w:pPr>
      <w:widowControl/>
      <w:numPr>
        <w:ilvl w:val="6"/>
        <w:numId w:val="1"/>
      </w:numPr>
      <w:snapToGrid w:val="false"/>
      <w:spacing w:lineRule="exact" w:line="566" w:before="240" w:after="60"/>
      <w:outlineLvl w:val="6"/>
    </w:pPr>
    <w:rPr>
      <w:rFonts w:eastAsia="永中仿宋;Times New Roman"/>
      <w:b/>
      <w:color w:val="000000"/>
      <w:sz w:val="32"/>
      <w:szCs w:val="20"/>
    </w:rPr>
  </w:style>
  <w:style w:type="character" w:styleId="Style7">
    <w:name w:val="默认段落字体"/>
    <w:qFormat/>
    <w:rPr/>
  </w:style>
  <w:style w:type="character" w:styleId="2Char">
    <w:name w:val="标题 2 Char"/>
    <w:qFormat/>
    <w:rPr>
      <w:rFonts w:ascii="Arial;Arial" w:hAnsi="Arial;Arial" w:eastAsia="永中黑体;Times New Roman" w:cs="Arial;Arial"/>
      <w:color w:val="000000"/>
      <w:kern w:val="2"/>
      <w:sz w:val="32"/>
      <w:lang w:val="en-US" w:eastAsia="zh-CN" w:bidi="ar-SA"/>
    </w:rPr>
  </w:style>
  <w:style w:type="character" w:styleId="Style8">
    <w:name w:val="批注引用"/>
    <w:qFormat/>
    <w:rPr>
      <w:sz w:val="21"/>
      <w:szCs w:val="21"/>
    </w:rPr>
  </w:style>
  <w:style w:type="character" w:styleId="Char">
    <w:name w:val="批注文字 Char"/>
    <w:qFormat/>
    <w:rPr>
      <w:kern w:val="2"/>
      <w:sz w:val="21"/>
      <w:szCs w:val="24"/>
    </w:rPr>
  </w:style>
  <w:style w:type="character" w:styleId="Char1">
    <w:name w:val="批注主题 Char"/>
    <w:qFormat/>
    <w:rPr>
      <w:b/>
      <w:bCs/>
      <w:kern w:val="2"/>
      <w:sz w:val="21"/>
      <w:szCs w:val="24"/>
    </w:rPr>
  </w:style>
  <w:style w:type="character" w:styleId="Char2">
    <w:name w:val="批注框文本 Char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rCharCharCharCharCharChar">
    <w:name w:val="Char Char Char Char Char Char Char"/>
    <w:basedOn w:val="Normal"/>
    <w:qFormat/>
    <w:pPr>
      <w:widowControl/>
      <w:snapToGrid w:val="false"/>
      <w:spacing w:lineRule="atLeast" w:line="400" w:before="0" w:after="120"/>
      <w:ind w:firstLine="200" w:left="0" w:right="0"/>
      <w:jc w:val="left"/>
    </w:pPr>
    <w:rPr>
      <w:rFonts w:ascii="Arial;Arial" w:hAnsi="Arial;Arial" w:cs="Verdana"/>
      <w:kern w:val="0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9">
    <w:name w:val="二级标题"/>
    <w:basedOn w:val="Heading2"/>
    <w:qFormat/>
    <w:pPr>
      <w:keepNext w:val="true"/>
      <w:keepLines/>
      <w:widowControl w:val="false"/>
      <w:numPr>
        <w:ilvl w:val="0"/>
        <w:numId w:val="0"/>
      </w:numPr>
      <w:snapToGrid w:val="true"/>
      <w:spacing w:lineRule="auto" w:line="360" w:before="0" w:after="0"/>
      <w:ind w:firstLine="200" w:left="0" w:right="0"/>
      <w:outlineLvl w:val="9"/>
    </w:pPr>
    <w:rPr>
      <w:rFonts w:ascii="仿宋_GB2312;仿宋" w:hAnsi="仿宋_GB2312;仿宋" w:eastAsia="仿宋_GB2312;仿宋" w:cs="华文中宋"/>
      <w:b/>
      <w:bCs/>
      <w:color w:val="000000"/>
      <w:sz w:val="28"/>
      <w:szCs w:val="28"/>
    </w:rPr>
  </w:style>
  <w:style w:type="paragraph" w:styleId="Style10">
    <w:name w:val="批注文字"/>
    <w:basedOn w:val="Normal"/>
    <w:qFormat/>
    <w:pPr>
      <w:jc w:val="left"/>
    </w:pPr>
    <w:rPr/>
  </w:style>
  <w:style w:type="paragraph" w:styleId="Style11">
    <w:name w:val="批注主题"/>
    <w:basedOn w:val="Style10"/>
    <w:next w:val="Style10"/>
    <w:qFormat/>
    <w:pPr/>
    <w:rPr>
      <w:b/>
      <w:bCs/>
    </w:rPr>
  </w:style>
  <w:style w:type="paragraph" w:styleId="Style12">
    <w:name w:val="批注框文本"/>
    <w:basedOn w:val="Normal"/>
    <w:qFormat/>
    <w:pPr/>
    <w:rPr>
      <w:sz w:val="18"/>
      <w:szCs w:val="18"/>
    </w:rPr>
  </w:style>
  <w:style w:type="paragraph" w:styleId="Style13">
    <w:name w:val="修订"/>
    <w:qFormat/>
    <w:pPr>
      <w:widowControl/>
      <w:bidi w:val="0"/>
    </w:pPr>
    <w:rPr>
      <w:rFonts w:ascii="Times New Roman;Times New Roman" w:hAnsi="Times New Roman;Times New Roman" w:eastAsia="宋体;宋体" w:cs="Times New Roman;Times New Roman"/>
      <w:color w:val="auto"/>
      <w:kern w:val="2"/>
      <w:sz w:val="21"/>
      <w:szCs w:val="24"/>
      <w:lang w:val="en-US" w:eastAsia="zh-CN" w:bidi="ar-SA"/>
    </w:rPr>
  </w:style>
  <w:style w:type="paragraph" w:styleId="Style14">
    <w:name w:val="普通(网站)"/>
    <w:basedOn w:val="Normal"/>
    <w:qFormat/>
    <w:pPr/>
    <w:rPr>
      <w:sz w:val="24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2020-01-08T21:41:00Z</dcterms:created>
  <dc:creator/>
  <dc:description/>
  <cp:keywords/>
  <dc:language>zh-CN</dc:language>
  <cp:lastModifiedBy/>
  <cp:lastPrinted>2013-01-23T15:28:00Z</cp:lastPrinted>
  <dcterms:modified xsi:type="dcterms:W3CDTF">2020-01-08T21:41:00Z</dcterms:modified>
  <cp:revision>0</cp:revision>
  <dc:subject/>
  <dc:title/>
</cp:coreProperties>
</file>