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539" w:right="0"/>
        <w:jc w:val="center"/>
        <w:rPr>
          <w:rFonts w:ascii="仿宋" w:hAnsi="仿宋" w:eastAsia="仿宋" w:cs="仿宋"/>
          <w:b/>
          <w:kern w:val="0"/>
          <w:sz w:val="28"/>
          <w:szCs w:val="28"/>
        </w:rPr>
      </w:pPr>
      <w:r>
        <w:rPr>
          <w:rFonts w:eastAsia="仿宋" w:cs="仿宋" w:ascii="仿宋" w:hAnsi="仿宋"/>
          <w:b/>
          <w:kern w:val="0"/>
          <w:sz w:val="28"/>
          <w:szCs w:val="28"/>
        </w:rPr>
        <w:t>××××</w:t>
      </w:r>
      <w:r>
        <w:rPr>
          <w:rFonts w:ascii="仿宋" w:hAnsi="仿宋" w:cs="仿宋" w:eastAsia="仿宋"/>
          <w:b/>
          <w:kern w:val="0"/>
          <w:sz w:val="28"/>
          <w:szCs w:val="28"/>
        </w:rPr>
        <w:t>银行股份有限公司</w:t>
      </w:r>
    </w:p>
    <w:p>
      <w:pPr>
        <w:pStyle w:val="Style12"/>
        <w:ind w:firstLine="539" w:right="0"/>
        <w:rPr>
          <w:rFonts w:ascii="仿宋" w:hAnsi="仿宋" w:eastAsia="仿宋" w:cs="宋体-PUA;Arial Unicode MS"/>
          <w:kern w:val="0"/>
        </w:rPr>
      </w:pPr>
      <w:r>
        <w:rPr>
          <w:rFonts w:ascii="仿宋" w:hAnsi="仿宋" w:cs="宋体-PUA;Arial Unicode MS" w:eastAsia="仿宋"/>
        </w:rPr>
        <w:t>债券投资业务管理办法与操作流程</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第一章  总则</w:t>
      </w:r>
    </w:p>
    <w:p>
      <w:pPr>
        <w:pStyle w:val="Style10"/>
        <w:spacing w:lineRule="auto" w:line="360"/>
        <w:ind w:firstLine="537" w:right="0"/>
        <w:rPr>
          <w:rFonts w:ascii="仿宋" w:hAnsi="仿宋" w:eastAsia="仿宋" w:cs="仿宋"/>
          <w:sz w:val="28"/>
          <w:szCs w:val="28"/>
        </w:rPr>
      </w:pPr>
      <w:r>
        <w:rPr>
          <w:rFonts w:ascii="仿宋" w:hAnsi="仿宋" w:cs="仿宋" w:eastAsia="仿宋"/>
          <w:sz w:val="28"/>
          <w:szCs w:val="28"/>
        </w:rPr>
        <w:t>第一条  为规范</w:t>
      </w:r>
      <w:r>
        <w:rPr>
          <w:rFonts w:eastAsia="仿宋" w:cs="仿宋" w:ascii="仿宋" w:hAnsi="仿宋"/>
          <w:sz w:val="28"/>
          <w:szCs w:val="28"/>
        </w:rPr>
        <w:t>××××</w:t>
      </w:r>
      <w:r>
        <w:rPr>
          <w:rFonts w:ascii="仿宋" w:hAnsi="仿宋" w:cs="仿宋" w:eastAsia="仿宋"/>
          <w:sz w:val="28"/>
          <w:szCs w:val="28"/>
        </w:rPr>
        <w:t>银行股份有限公司（以下简称“本行”）债券投资行为，防范债券投资业务风险，</w:t>
      </w:r>
      <w:r>
        <w:rPr>
          <w:rFonts w:ascii="仿宋" w:hAnsi="仿宋" w:cs="仿宋" w:eastAsia="仿宋"/>
          <w:sz w:val="28"/>
          <w:szCs w:val="28"/>
          <w:lang w:eastAsia="zh-CN"/>
        </w:rPr>
        <w:t>规范操作程序，</w:t>
      </w:r>
      <w:r>
        <w:rPr>
          <w:rFonts w:ascii="仿宋" w:hAnsi="仿宋" w:cs="仿宋" w:eastAsia="仿宋"/>
          <w:sz w:val="28"/>
          <w:szCs w:val="28"/>
        </w:rPr>
        <w:t>根据《全国银行间债券市场债券交易管理办法》、《银行间债券市场债券登记托管结算管理办法》、《商业银行内部控制指引》、《商业银行市场风险管理指引》</w:t>
      </w:r>
      <w:r>
        <w:rPr>
          <w:rFonts w:ascii="仿宋" w:hAnsi="仿宋" w:cs="仿宋" w:eastAsia="仿宋"/>
          <w:sz w:val="28"/>
          <w:szCs w:val="28"/>
          <w:lang w:eastAsia="zh-CN"/>
        </w:rPr>
        <w:t>以及</w:t>
      </w:r>
      <w:r>
        <w:rPr>
          <w:rFonts w:ascii="仿宋" w:hAnsi="仿宋" w:cs="仿宋" w:eastAsia="仿宋"/>
          <w:sz w:val="28"/>
          <w:szCs w:val="28"/>
        </w:rPr>
        <w:t>《关于加强商业银行债券投资风险管理的通知》以</w:t>
      </w:r>
      <w:r>
        <w:rPr>
          <w:rFonts w:ascii="仿宋" w:hAnsi="仿宋" w:cs="仿宋" w:eastAsia="仿宋"/>
          <w:sz w:val="28"/>
          <w:szCs w:val="28"/>
          <w:lang w:eastAsia="zh-CN"/>
        </w:rPr>
        <w:t>等有关规定</w:t>
      </w:r>
      <w:r>
        <w:rPr>
          <w:rFonts w:ascii="仿宋" w:hAnsi="仿宋" w:cs="仿宋" w:eastAsia="仿宋"/>
          <w:sz w:val="28"/>
          <w:szCs w:val="28"/>
        </w:rPr>
        <w:t>，结合</w:t>
      </w:r>
      <w:r>
        <w:rPr>
          <w:rFonts w:ascii="仿宋" w:hAnsi="仿宋" w:cs="仿宋" w:eastAsia="仿宋"/>
          <w:sz w:val="28"/>
          <w:szCs w:val="28"/>
          <w:lang w:eastAsia="zh-CN"/>
        </w:rPr>
        <w:t>本</w:t>
      </w:r>
      <w:r>
        <w:rPr>
          <w:rFonts w:ascii="仿宋" w:hAnsi="仿宋" w:cs="仿宋" w:eastAsia="仿宋"/>
          <w:sz w:val="28"/>
          <w:szCs w:val="28"/>
        </w:rPr>
        <w:t>行实际，特制定本办法。</w:t>
      </w:r>
    </w:p>
    <w:p>
      <w:pPr>
        <w:pStyle w:val="Normal"/>
        <w:spacing w:lineRule="auto" w:line="360"/>
        <w:ind w:firstLine="537" w:right="0"/>
        <w:rPr/>
      </w:pPr>
      <w:r>
        <w:rPr>
          <w:rFonts w:ascii="仿宋" w:hAnsi="仿宋" w:cs="仿宋" w:eastAsia="仿宋"/>
          <w:sz w:val="28"/>
          <w:szCs w:val="28"/>
        </w:rPr>
        <w:t>第二条  本办法所称债券投资业务是指交易双方通过债券市场进行债券买卖的业务，包括债券分销、债券回购、债券买卖、债券托管等。目前本行仅可通过全国银行间市场进行债券投资业务，不得通过证券机构进行债券投资业务。</w:t>
      </w:r>
    </w:p>
    <w:p>
      <w:pPr>
        <w:pStyle w:val="Normal"/>
        <w:spacing w:lineRule="auto" w:line="360"/>
        <w:ind w:firstLine="537" w:right="0"/>
        <w:rPr/>
      </w:pPr>
      <w:r>
        <w:rPr>
          <w:rFonts w:ascii="仿宋" w:hAnsi="仿宋" w:cs="仿宋" w:eastAsia="仿宋"/>
          <w:sz w:val="28"/>
          <w:szCs w:val="28"/>
        </w:rPr>
        <w:t>第三条  本办法中的有关名词定义如下：</w:t>
      </w:r>
    </w:p>
    <w:p>
      <w:pPr>
        <w:pStyle w:val="Normal"/>
        <w:spacing w:lineRule="auto" w:line="360"/>
        <w:ind w:firstLine="537" w:right="0"/>
        <w:rPr/>
      </w:pPr>
      <w:r>
        <w:rPr>
          <w:rFonts w:ascii="仿宋" w:hAnsi="仿宋" w:cs="仿宋" w:eastAsia="仿宋"/>
          <w:sz w:val="28"/>
          <w:szCs w:val="28"/>
        </w:rPr>
        <w:t>（一）债券指经中国人民银行批准可在银行间债券市场或证券交易所市场上进行交易的国债、中央银行融资券、政策性金融债券、国家有关部门批准公开发行的国家重点建设企业</w:t>
      </w:r>
      <w:r>
        <w:rPr>
          <w:rFonts w:eastAsia="仿宋" w:cs="仿宋" w:ascii="仿宋" w:hAnsi="仿宋"/>
          <w:sz w:val="28"/>
          <w:szCs w:val="28"/>
        </w:rPr>
        <w:t>AAA</w:t>
      </w:r>
      <w:r>
        <w:rPr>
          <w:rFonts w:ascii="仿宋" w:hAnsi="仿宋" w:cs="仿宋" w:eastAsia="仿宋"/>
          <w:sz w:val="28"/>
          <w:szCs w:val="28"/>
        </w:rPr>
        <w:t>级以上债券和人民银行批准的农村商业银行可参与的其他有价证券。</w:t>
      </w:r>
    </w:p>
    <w:p>
      <w:pPr>
        <w:pStyle w:val="Normal"/>
        <w:spacing w:lineRule="auto" w:line="360"/>
        <w:ind w:firstLine="537" w:right="0"/>
        <w:rPr/>
      </w:pPr>
      <w:r>
        <w:rPr>
          <w:rFonts w:ascii="仿宋" w:hAnsi="仿宋" w:cs="仿宋" w:eastAsia="仿宋"/>
          <w:sz w:val="28"/>
          <w:szCs w:val="28"/>
        </w:rPr>
        <w:t>（二）债券分销指通过国债、政策性金融债及企业债承销商分销债券的业务。</w:t>
      </w:r>
    </w:p>
    <w:p>
      <w:pPr>
        <w:pStyle w:val="Normal"/>
        <w:spacing w:lineRule="auto" w:line="360"/>
        <w:ind w:firstLine="537" w:right="0"/>
        <w:rPr/>
      </w:pPr>
      <w:r>
        <w:rPr>
          <w:rFonts w:ascii="仿宋" w:hAnsi="仿宋" w:cs="仿宋" w:eastAsia="仿宋"/>
          <w:sz w:val="28"/>
          <w:szCs w:val="28"/>
        </w:rPr>
        <w:t>（三）债券回购是指交易双方进行的以债券为权利质押的一种短期资金融通业务，是资金融入方（正回购方）在将债券出质给资金融出方（逆回购方）融入资金的同时，双方约定在将来某一日期由正回购方按约定回购利率计算的资金额向逆回购方返还资金，逆回购方向正回购方返还原出质债券的融资行为。</w:t>
      </w:r>
    </w:p>
    <w:p>
      <w:pPr>
        <w:pStyle w:val="Normal"/>
        <w:spacing w:lineRule="auto" w:line="360"/>
        <w:ind w:firstLine="537" w:right="0"/>
        <w:rPr/>
      </w:pPr>
      <w:r>
        <w:rPr>
          <w:rFonts w:ascii="仿宋" w:hAnsi="仿宋" w:cs="仿宋" w:eastAsia="仿宋"/>
          <w:sz w:val="28"/>
          <w:szCs w:val="28"/>
        </w:rPr>
        <w:t>（四）债券买卖是指交易双方以约定的价格转让债券所有权的交易行为。</w:t>
      </w:r>
    </w:p>
    <w:p>
      <w:pPr>
        <w:pStyle w:val="Normal"/>
        <w:spacing w:lineRule="auto" w:line="360"/>
        <w:ind w:firstLine="537" w:right="0"/>
        <w:rPr/>
      </w:pPr>
      <w:r>
        <w:rPr>
          <w:rFonts w:ascii="仿宋" w:hAnsi="仿宋" w:cs="仿宋" w:eastAsia="仿宋"/>
          <w:sz w:val="28"/>
          <w:szCs w:val="28"/>
        </w:rPr>
        <w:t>（五）债券托管是指债券投资人基于对债券托管机构的信任，将其所拥有的债券委托托管机构进行债权管理与权益监护的行为。</w:t>
      </w:r>
    </w:p>
    <w:p>
      <w:pPr>
        <w:pStyle w:val="Normal"/>
        <w:spacing w:lineRule="auto" w:line="360"/>
        <w:ind w:firstLine="537" w:right="0"/>
        <w:rPr/>
      </w:pPr>
      <w:r>
        <w:rPr>
          <w:rFonts w:ascii="仿宋" w:hAnsi="仿宋" w:cs="仿宋" w:eastAsia="仿宋"/>
          <w:sz w:val="28"/>
          <w:szCs w:val="28"/>
        </w:rPr>
        <w:t>（六）前台交易系统是指全国银行间同业拆借中心提供的交易系统。</w:t>
      </w:r>
    </w:p>
    <w:p>
      <w:pPr>
        <w:pStyle w:val="Normal"/>
        <w:spacing w:lineRule="auto" w:line="360"/>
        <w:ind w:firstLine="537" w:right="0"/>
        <w:rPr/>
      </w:pPr>
      <w:r>
        <w:rPr>
          <w:rFonts w:ascii="仿宋" w:hAnsi="仿宋" w:cs="仿宋" w:eastAsia="仿宋"/>
          <w:sz w:val="28"/>
          <w:szCs w:val="28"/>
        </w:rPr>
        <w:t>（七）后台交易系统是指中央国债登记结算有限责任公司提供的中央债券综合业务系统。</w:t>
      </w:r>
    </w:p>
    <w:p>
      <w:pPr>
        <w:pStyle w:val="Normal"/>
        <w:spacing w:lineRule="auto" w:line="360"/>
        <w:ind w:firstLine="537" w:right="0"/>
        <w:rPr/>
      </w:pPr>
      <w:r>
        <w:rPr>
          <w:rFonts w:ascii="仿宋" w:hAnsi="仿宋" w:cs="仿宋" w:eastAsia="仿宋"/>
          <w:sz w:val="28"/>
          <w:szCs w:val="28"/>
        </w:rPr>
        <w:t>第四条  成交日期是债券买卖双方订立买卖交易合同的日期。交割日期是交易双方根据买卖合同进行资金划付、债券交割的日期。</w:t>
      </w:r>
    </w:p>
    <w:p>
      <w:pPr>
        <w:pStyle w:val="Normal"/>
        <w:spacing w:lineRule="auto" w:line="360"/>
        <w:ind w:firstLine="537" w:right="0"/>
        <w:rPr/>
      </w:pPr>
      <w:r>
        <w:rPr>
          <w:rFonts w:ascii="仿宋" w:hAnsi="仿宋" w:cs="仿宋" w:eastAsia="仿宋"/>
          <w:sz w:val="28"/>
          <w:szCs w:val="28"/>
        </w:rPr>
        <w:t>第五条  与本行开展一级市场债券承销业务的单位必须是经中国人民银行批准的相关发债主体的承销团成员。与本行开展二级市场债券买卖业务的单位必须是经中国人民银行批准，进入全国银行间市场的市场成员，双方通过前台交易系统进行交易，通过后台结算系统进行债券交割。</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第二章  职责与分工</w:t>
      </w:r>
    </w:p>
    <w:p>
      <w:pPr>
        <w:pStyle w:val="Normal"/>
        <w:spacing w:lineRule="auto" w:line="360"/>
        <w:ind w:firstLine="537" w:right="0"/>
        <w:jc w:val="left"/>
        <w:rPr/>
      </w:pPr>
      <w:r>
        <w:rPr>
          <w:rFonts w:ascii="仿宋" w:hAnsi="仿宋" w:cs="仿宋" w:eastAsia="仿宋"/>
          <w:sz w:val="28"/>
          <w:szCs w:val="28"/>
        </w:rPr>
        <w:t>第六条  金融市场部主要负责拟定债券投资业务相关管理办法，根据本行转授权管理办法的规定进行债券业务的操作并进行交易，负责保管相关业务资料。</w:t>
      </w:r>
    </w:p>
    <w:p>
      <w:pPr>
        <w:pStyle w:val="Normal"/>
        <w:spacing w:lineRule="auto" w:line="360"/>
        <w:ind w:firstLine="537" w:right="0"/>
        <w:jc w:val="left"/>
        <w:rPr>
          <w:rFonts w:ascii="仿宋" w:hAnsi="仿宋" w:eastAsia="仿宋" w:cs="仿宋"/>
          <w:sz w:val="28"/>
          <w:szCs w:val="28"/>
        </w:rPr>
      </w:pPr>
      <w:r>
        <w:rPr>
          <w:rFonts w:ascii="仿宋" w:hAnsi="仿宋" w:cs="仿宋" w:eastAsia="仿宋"/>
          <w:sz w:val="28"/>
          <w:szCs w:val="28"/>
        </w:rPr>
        <w:t>第七条  运营管理部下属清算中心主要负责债券投资业务的资金清算。</w:t>
      </w:r>
    </w:p>
    <w:p>
      <w:pPr>
        <w:pStyle w:val="Normal"/>
        <w:spacing w:lineRule="auto" w:line="360"/>
        <w:ind w:firstLine="537" w:right="0"/>
        <w:jc w:val="left"/>
        <w:rPr>
          <w:rFonts w:ascii="仿宋" w:hAnsi="仿宋" w:eastAsia="仿宋" w:cs="仿宋"/>
          <w:sz w:val="28"/>
          <w:szCs w:val="28"/>
        </w:rPr>
      </w:pPr>
      <w:r>
        <w:rPr>
          <w:rFonts w:ascii="仿宋" w:hAnsi="仿宋" w:cs="仿宋" w:eastAsia="仿宋"/>
          <w:sz w:val="28"/>
          <w:szCs w:val="28"/>
        </w:rPr>
        <w:t>第八条  运营管理部负责拟订债券投资业务会计核算手续。</w:t>
      </w:r>
    </w:p>
    <w:p>
      <w:pPr>
        <w:pStyle w:val="Normal"/>
        <w:spacing w:lineRule="auto" w:line="360"/>
        <w:ind w:firstLine="537" w:right="0"/>
        <w:jc w:val="left"/>
        <w:rPr/>
      </w:pPr>
      <w:r>
        <w:rPr>
          <w:rFonts w:ascii="仿宋" w:hAnsi="仿宋" w:cs="仿宋" w:eastAsia="仿宋"/>
          <w:sz w:val="28"/>
          <w:szCs w:val="28"/>
        </w:rPr>
        <w:t>第九条  合规管理部负责审核债券投资业务管理办法合规性、有效性。</w:t>
      </w:r>
    </w:p>
    <w:p>
      <w:pPr>
        <w:pStyle w:val="Normal"/>
        <w:spacing w:lineRule="auto" w:line="360"/>
        <w:ind w:firstLine="537" w:right="0"/>
        <w:jc w:val="left"/>
        <w:rPr/>
      </w:pPr>
      <w:r>
        <w:rPr>
          <w:rFonts w:ascii="仿宋" w:hAnsi="仿宋" w:cs="仿宋" w:eastAsia="仿宋"/>
          <w:sz w:val="28"/>
          <w:szCs w:val="28"/>
        </w:rPr>
        <w:t>第十条  风险管理部负责对债券投资业务的风险定期识别、计量、监测，做出独立评估并提交风险审查报告。</w:t>
      </w:r>
    </w:p>
    <w:p>
      <w:pPr>
        <w:pStyle w:val="Normal"/>
        <w:spacing w:lineRule="auto" w:line="360"/>
        <w:ind w:firstLine="537" w:right="0"/>
        <w:jc w:val="left"/>
        <w:rPr/>
      </w:pPr>
      <w:r>
        <w:rPr>
          <w:rFonts w:ascii="仿宋" w:hAnsi="仿宋" w:cs="仿宋" w:eastAsia="仿宋"/>
          <w:sz w:val="28"/>
          <w:szCs w:val="28"/>
        </w:rPr>
        <w:t>第十一条  审计部负责定期或不定期对债券投资业务进行审计和监督检查。内容包含但不限于：交易方式、期限、对象等是否符合中国人民银行的有关规定；操作程序、审批程序是否执行本管理办法；成交通知单、成交合同、债券交割单、审批单等是否完备。</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第三章  债券投资岗位设置</w:t>
      </w:r>
    </w:p>
    <w:p>
      <w:pPr>
        <w:pStyle w:val="Normal"/>
        <w:spacing w:lineRule="auto" w:line="360"/>
        <w:ind w:firstLine="537" w:right="0"/>
        <w:rPr/>
      </w:pPr>
      <w:r>
        <w:rPr>
          <w:rFonts w:ascii="仿宋" w:hAnsi="仿宋" w:cs="仿宋" w:eastAsia="仿宋"/>
          <w:sz w:val="28"/>
          <w:szCs w:val="28"/>
        </w:rPr>
        <w:t>第十二条  金融市场部根据岗位“相互制约、换人复核”的原则，将岗位具体设置为：债券交易岗、债券结算岗、债券复核岗、债券清算岗。其中债券清算岗由本行清算中心人员担任。</w:t>
      </w:r>
    </w:p>
    <w:p>
      <w:pPr>
        <w:pStyle w:val="Normal"/>
        <w:spacing w:lineRule="auto" w:line="360"/>
        <w:ind w:firstLine="537" w:right="0"/>
        <w:rPr/>
      </w:pPr>
      <w:r>
        <w:rPr>
          <w:rFonts w:ascii="仿宋" w:hAnsi="仿宋" w:cs="仿宋" w:eastAsia="仿宋"/>
          <w:sz w:val="28"/>
          <w:szCs w:val="28"/>
        </w:rPr>
        <w:t>第十三条  各岗位具体职责为：</w:t>
      </w:r>
    </w:p>
    <w:p>
      <w:pPr>
        <w:pStyle w:val="Normal"/>
        <w:spacing w:lineRule="auto" w:line="360"/>
        <w:ind w:firstLine="537" w:right="0"/>
        <w:rPr/>
      </w:pPr>
      <w:r>
        <w:rPr>
          <w:rFonts w:ascii="仿宋" w:hAnsi="仿宋" w:cs="仿宋" w:eastAsia="仿宋"/>
          <w:sz w:val="28"/>
          <w:szCs w:val="28"/>
        </w:rPr>
        <w:t>（一）债券交易岗：负责日常的信息收集，在市场上寻找交易对手方，发送每笔交易的对话报价，通过交易系统或书面合同完成债券交易并打印成交单、登记交易台帐。</w:t>
      </w:r>
    </w:p>
    <w:p>
      <w:pPr>
        <w:pStyle w:val="Normal"/>
        <w:spacing w:lineRule="auto" w:line="360"/>
        <w:ind w:firstLine="537" w:right="0"/>
        <w:rPr/>
      </w:pPr>
      <w:r>
        <w:rPr>
          <w:rFonts w:ascii="仿宋" w:hAnsi="仿宋" w:cs="仿宋" w:eastAsia="仿宋"/>
          <w:sz w:val="28"/>
          <w:szCs w:val="28"/>
        </w:rPr>
        <w:t>（二）债券结算岗：负责对交易人员提供的成交通知单或债券交易合同通过后台结算系统逐笔录入结算指令，并关注指令交割情况。</w:t>
      </w:r>
    </w:p>
    <w:p>
      <w:pPr>
        <w:pStyle w:val="Normal"/>
        <w:spacing w:lineRule="auto" w:line="360"/>
        <w:ind w:firstLine="537" w:right="0"/>
        <w:rPr/>
      </w:pPr>
      <w:r>
        <w:rPr>
          <w:rFonts w:ascii="仿宋" w:hAnsi="仿宋" w:cs="仿宋" w:eastAsia="仿宋"/>
          <w:sz w:val="28"/>
          <w:szCs w:val="28"/>
        </w:rPr>
        <w:t>（三）债券复核岗：负责对结算人员录入的每笔指令进行复核，确认准确无误后发送，对结算人员开立的资金划付凭证进行要素复核，确保资金收付的准确、及时。</w:t>
      </w:r>
    </w:p>
    <w:p>
      <w:pPr>
        <w:pStyle w:val="Normal"/>
        <w:spacing w:lineRule="auto" w:line="360"/>
        <w:ind w:firstLine="537" w:right="0"/>
        <w:rPr/>
      </w:pPr>
      <w:r>
        <w:rPr>
          <w:rFonts w:ascii="仿宋" w:hAnsi="仿宋" w:cs="仿宋" w:eastAsia="仿宋"/>
          <w:sz w:val="28"/>
          <w:szCs w:val="28"/>
        </w:rPr>
        <w:t>（四）债券清算岗：负责对债券业务涉及的资金进行核算，划付、签收和记帐。</w:t>
      </w:r>
    </w:p>
    <w:p>
      <w:pPr>
        <w:pStyle w:val="Normal"/>
        <w:spacing w:lineRule="auto" w:line="360"/>
        <w:ind w:firstLine="537" w:right="0"/>
        <w:rPr/>
      </w:pPr>
      <w:r>
        <w:rPr>
          <w:rFonts w:ascii="仿宋" w:hAnsi="仿宋" w:cs="仿宋" w:eastAsia="仿宋"/>
          <w:sz w:val="28"/>
          <w:szCs w:val="28"/>
        </w:rPr>
        <w:t>第十四条  各岗位必须严格按照货币市场有关管理办法和本办法的有关规定办理业务，严禁越岗、越权操作，如发现资金交易清算中有异常情况发生，必须及时查明原因，逐级报告，采取有效措施妥善解决。</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第四章  债券投资操作流程</w:t>
      </w:r>
    </w:p>
    <w:p>
      <w:pPr>
        <w:pStyle w:val="Normal"/>
        <w:spacing w:lineRule="auto" w:line="360"/>
        <w:ind w:firstLine="537" w:right="0"/>
        <w:rPr/>
      </w:pPr>
      <w:r>
        <w:rPr>
          <w:rFonts w:ascii="仿宋" w:hAnsi="仿宋" w:cs="仿宋" w:eastAsia="仿宋"/>
          <w:sz w:val="28"/>
          <w:szCs w:val="28"/>
        </w:rPr>
        <w:t>第十五条  申请、审查与审批</w:t>
      </w:r>
    </w:p>
    <w:p>
      <w:pPr>
        <w:pStyle w:val="Normal"/>
        <w:spacing w:lineRule="auto" w:line="360"/>
        <w:ind w:firstLine="537" w:right="0"/>
        <w:rPr/>
      </w:pPr>
      <w:r>
        <w:rPr>
          <w:rFonts w:ascii="仿宋" w:hAnsi="仿宋" w:cs="仿宋" w:eastAsia="仿宋"/>
          <w:sz w:val="28"/>
          <w:szCs w:val="28"/>
        </w:rPr>
        <w:t>债券投资业务的申请与审批，由本行计划财务部根据市场情况，本行资产与负债状况以及资金富余情况提出债券投资业务的申请，同时参照本行《转授权管理办法》的通知要求提交本行资产负债管理委员会审议决策。</w:t>
      </w:r>
    </w:p>
    <w:p>
      <w:pPr>
        <w:pStyle w:val="Normal"/>
        <w:spacing w:lineRule="auto" w:line="360"/>
        <w:ind w:firstLine="537" w:right="0"/>
        <w:rPr>
          <w:rFonts w:ascii="仿宋" w:hAnsi="仿宋" w:eastAsia="仿宋" w:cs="仿宋"/>
          <w:color w:val="000000"/>
          <w:sz w:val="28"/>
          <w:szCs w:val="28"/>
        </w:rPr>
      </w:pPr>
      <w:r>
        <w:rPr>
          <w:rFonts w:ascii="仿宋" w:hAnsi="仿宋" w:cs="仿宋" w:eastAsia="仿宋"/>
          <w:sz w:val="28"/>
          <w:szCs w:val="28"/>
        </w:rPr>
        <w:t>第十六条  债券业务交易操作</w:t>
      </w:r>
    </w:p>
    <w:p>
      <w:pPr>
        <w:pStyle w:val="Normal"/>
        <w:spacing w:lineRule="auto" w:line="360"/>
        <w:ind w:firstLine="537" w:right="0"/>
        <w:rPr/>
      </w:pPr>
      <w:r>
        <w:rPr>
          <w:rFonts w:ascii="仿宋" w:hAnsi="仿宋" w:cs="仿宋" w:eastAsia="仿宋"/>
          <w:sz w:val="28"/>
          <w:szCs w:val="28"/>
        </w:rPr>
        <w:t>（一）债券分销业务的操作流程：</w:t>
      </w:r>
    </w:p>
    <w:p>
      <w:pPr>
        <w:pStyle w:val="Normal"/>
        <w:spacing w:lineRule="auto" w:line="360"/>
        <w:ind w:firstLine="537" w:right="0"/>
        <w:rPr/>
      </w:pPr>
      <w:r>
        <w:rPr>
          <w:rFonts w:ascii="仿宋" w:hAnsi="仿宋" w:cs="仿宋" w:eastAsia="仿宋"/>
          <w:sz w:val="28"/>
          <w:szCs w:val="28"/>
        </w:rPr>
        <w:t>本行拟购买新发行的国债、政策性金融债及其他债券，金融市场部应协助本行计划财务部依据资金富余、存券情况及债券发行条款，测算购买金额及相应利率档次，形成交易意见，按照授权规定报经本行有权人审批同意后，参与报价分销。具体交易操作如下：</w:t>
      </w:r>
    </w:p>
    <w:p>
      <w:pPr>
        <w:pStyle w:val="Normal"/>
        <w:spacing w:lineRule="auto" w:line="360"/>
        <w:ind w:firstLine="537" w:right="0"/>
        <w:rPr>
          <w:rFonts w:ascii="仿宋" w:hAnsi="仿宋" w:eastAsia="仿宋" w:cs="仿宋"/>
          <w:sz w:val="28"/>
          <w:szCs w:val="28"/>
        </w:rPr>
      </w:pPr>
      <w:r>
        <w:rPr>
          <w:rFonts w:eastAsia="仿宋" w:cs="仿宋" w:ascii="仿宋" w:hAnsi="仿宋"/>
          <w:sz w:val="28"/>
          <w:szCs w:val="28"/>
        </w:rPr>
        <w:t>1</w:t>
      </w:r>
      <w:r>
        <w:rPr>
          <w:rFonts w:ascii="仿宋" w:hAnsi="仿宋" w:cs="仿宋" w:eastAsia="仿宋"/>
          <w:sz w:val="28"/>
          <w:szCs w:val="28"/>
        </w:rPr>
        <w:t>、交易员根据经领导批准的《债券分销业务审批单》，将经批准的价格和金额报债券承销商，如中标，签订相应债券分销合同，合同原件入档保管，合同复印件交清算中心进行账务处理。</w:t>
      </w:r>
    </w:p>
    <w:p>
      <w:pPr>
        <w:pStyle w:val="Normal"/>
        <w:spacing w:lineRule="auto" w:line="360"/>
        <w:ind w:firstLine="537" w:right="0"/>
        <w:rPr/>
      </w:pPr>
      <w:r>
        <w:rPr>
          <w:rFonts w:eastAsia="仿宋" w:cs="仿宋" w:ascii="仿宋" w:hAnsi="仿宋"/>
          <w:sz w:val="28"/>
          <w:szCs w:val="28"/>
        </w:rPr>
        <w:t>2</w:t>
      </w:r>
      <w:r>
        <w:rPr>
          <w:rFonts w:ascii="仿宋" w:hAnsi="仿宋" w:cs="仿宋" w:eastAsia="仿宋"/>
          <w:sz w:val="28"/>
          <w:szCs w:val="28"/>
        </w:rPr>
        <w:t>、结算员根据成交单开具资金划付凭证及资金划拨通知单，按程序复核、报批。</w:t>
      </w:r>
    </w:p>
    <w:p>
      <w:pPr>
        <w:pStyle w:val="Normal"/>
        <w:spacing w:lineRule="auto" w:line="360"/>
        <w:ind w:firstLine="537" w:right="0"/>
        <w:rPr/>
      </w:pPr>
      <w:r>
        <w:rPr>
          <w:rFonts w:eastAsia="仿宋" w:cs="仿宋" w:ascii="仿宋" w:hAnsi="仿宋"/>
          <w:sz w:val="28"/>
          <w:szCs w:val="28"/>
        </w:rPr>
        <w:t>3</w:t>
      </w:r>
      <w:r>
        <w:rPr>
          <w:rFonts w:ascii="仿宋" w:hAnsi="仿宋" w:cs="仿宋" w:eastAsia="仿宋"/>
          <w:sz w:val="28"/>
          <w:szCs w:val="28"/>
        </w:rPr>
        <w:t>、复核员通过中央国债登记结算交易系统，检查债券是否过户，如未过户，及时与债券承销商、中央国债登记结算公司联系，查明原因，将详细情况上报。</w:t>
      </w:r>
    </w:p>
    <w:p>
      <w:pPr>
        <w:pStyle w:val="Normal"/>
        <w:spacing w:lineRule="auto" w:line="360"/>
        <w:ind w:firstLine="537" w:right="0"/>
        <w:rPr/>
      </w:pPr>
      <w:r>
        <w:rPr>
          <w:rFonts w:eastAsia="仿宋" w:cs="仿宋" w:ascii="仿宋" w:hAnsi="仿宋"/>
          <w:sz w:val="28"/>
          <w:szCs w:val="28"/>
        </w:rPr>
        <w:t>4</w:t>
      </w:r>
      <w:r>
        <w:rPr>
          <w:rFonts w:ascii="仿宋" w:hAnsi="仿宋" w:cs="仿宋" w:eastAsia="仿宋"/>
          <w:sz w:val="28"/>
          <w:szCs w:val="28"/>
        </w:rPr>
        <w:t>、清算中心按照结算员提交经审批的《资金划拨通知单》按分销合同规定日期，将款项汇出。</w:t>
      </w:r>
    </w:p>
    <w:p>
      <w:pPr>
        <w:pStyle w:val="Normal"/>
        <w:spacing w:lineRule="auto" w:line="360"/>
        <w:ind w:firstLine="537" w:right="0"/>
        <w:rPr/>
      </w:pPr>
      <w:r>
        <w:rPr>
          <w:rFonts w:ascii="仿宋" w:hAnsi="仿宋" w:cs="仿宋" w:eastAsia="仿宋"/>
          <w:sz w:val="28"/>
          <w:szCs w:val="28"/>
        </w:rPr>
        <w:t>（二）债券现券交易业务即购买或卖出债券的操作流程：</w:t>
      </w:r>
    </w:p>
    <w:p>
      <w:pPr>
        <w:pStyle w:val="Normal"/>
        <w:spacing w:lineRule="auto" w:line="360"/>
        <w:ind w:firstLine="537" w:right="0"/>
        <w:rPr/>
      </w:pPr>
      <w:r>
        <w:rPr>
          <w:rFonts w:ascii="仿宋" w:hAnsi="仿宋" w:cs="仿宋" w:eastAsia="仿宋"/>
          <w:sz w:val="28"/>
          <w:szCs w:val="28"/>
        </w:rPr>
        <w:t>金融市场部协助本行计划财务部依据资金富余、存券情况及债券发行条款，测算所购买或出售的金额及相应利率档次，形成交易意见，按照授权规定报经本行有权人审批同意后，参与报价分销。具体交易操作如下：</w:t>
      </w:r>
    </w:p>
    <w:p>
      <w:pPr>
        <w:pStyle w:val="Normal"/>
        <w:spacing w:lineRule="auto" w:line="360"/>
        <w:ind w:firstLine="537" w:right="0"/>
        <w:rPr>
          <w:rFonts w:ascii="仿宋" w:hAnsi="仿宋" w:eastAsia="仿宋" w:cs="仿宋"/>
          <w:sz w:val="28"/>
          <w:szCs w:val="28"/>
        </w:rPr>
      </w:pPr>
      <w:r>
        <w:rPr>
          <w:rFonts w:eastAsia="仿宋" w:cs="仿宋" w:ascii="仿宋" w:hAnsi="仿宋"/>
          <w:sz w:val="28"/>
          <w:szCs w:val="28"/>
        </w:rPr>
        <w:t>1</w:t>
      </w:r>
      <w:r>
        <w:rPr>
          <w:rFonts w:ascii="仿宋" w:hAnsi="仿宋" w:cs="仿宋" w:eastAsia="仿宋"/>
          <w:sz w:val="28"/>
          <w:szCs w:val="28"/>
        </w:rPr>
        <w:t>、金融市场部交易员根据网上报价情况进行测算，选择最优价格，经本行有权人审批同意后，与对手方进行交谈、成交，发送报价并打印《银行间债券买卖成交通知单》一式三份，一份存档、一份交清算中心进行账务处理、一份交结算人员。</w:t>
      </w:r>
    </w:p>
    <w:p>
      <w:pPr>
        <w:pStyle w:val="Normal"/>
        <w:spacing w:lineRule="auto" w:line="360"/>
        <w:ind w:firstLine="537" w:right="0"/>
        <w:rPr>
          <w:rFonts w:ascii="仿宋" w:hAnsi="仿宋" w:eastAsia="仿宋" w:cs="仿宋"/>
          <w:sz w:val="28"/>
          <w:szCs w:val="28"/>
        </w:rPr>
      </w:pPr>
      <w:r>
        <w:rPr>
          <w:rFonts w:eastAsia="仿宋" w:cs="仿宋" w:ascii="仿宋" w:hAnsi="仿宋"/>
          <w:sz w:val="28"/>
          <w:szCs w:val="28"/>
        </w:rPr>
        <w:t>2</w:t>
      </w:r>
      <w:r>
        <w:rPr>
          <w:rFonts w:ascii="仿宋" w:hAnsi="仿宋" w:cs="仿宋" w:eastAsia="仿宋"/>
          <w:sz w:val="28"/>
          <w:szCs w:val="28"/>
        </w:rPr>
        <w:t>、结算人员通过后台结算系统逐笔录入结算指令，复核人员复核并确认无误后发送中央国债登记结算有限公司，同时关注查询债券交割、托管情况。</w:t>
      </w:r>
    </w:p>
    <w:p>
      <w:pPr>
        <w:pStyle w:val="Normal"/>
        <w:spacing w:lineRule="auto" w:line="360"/>
        <w:ind w:firstLine="537" w:right="0"/>
        <w:rPr/>
      </w:pPr>
      <w:r>
        <w:rPr>
          <w:rFonts w:eastAsia="仿宋" w:cs="仿宋" w:ascii="仿宋" w:hAnsi="仿宋"/>
          <w:sz w:val="28"/>
          <w:szCs w:val="28"/>
        </w:rPr>
        <w:t>3</w:t>
      </w:r>
      <w:r>
        <w:rPr>
          <w:rFonts w:ascii="仿宋" w:hAnsi="仿宋" w:cs="仿宋" w:eastAsia="仿宋"/>
          <w:sz w:val="28"/>
          <w:szCs w:val="28"/>
        </w:rPr>
        <w:t>、清算人员凭《银行间债券买卖成交通知单》所列的金额、品种进行账务处理。</w:t>
      </w:r>
    </w:p>
    <w:p>
      <w:pPr>
        <w:pStyle w:val="Normal"/>
        <w:spacing w:lineRule="auto" w:line="360"/>
        <w:ind w:firstLine="537" w:right="0"/>
        <w:rPr/>
      </w:pPr>
      <w:r>
        <w:rPr>
          <w:rFonts w:ascii="仿宋" w:hAnsi="仿宋" w:cs="仿宋" w:eastAsia="仿宋"/>
          <w:sz w:val="28"/>
          <w:szCs w:val="28"/>
        </w:rPr>
        <w:t>（三）债券回购交易业务即拆借资金的操作流程：</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金融市场部协助本行计划财务部依据资金富余、存券情况及债券发行条款，形成交易意见，按照授权规定报经本行有权人审批同意后，进行业务的交易，具体操作如下：</w:t>
      </w:r>
    </w:p>
    <w:p>
      <w:pPr>
        <w:pStyle w:val="Normal"/>
        <w:spacing w:lineRule="auto" w:line="360"/>
        <w:ind w:firstLine="537" w:right="0"/>
        <w:rPr>
          <w:rFonts w:ascii="仿宋" w:hAnsi="仿宋" w:eastAsia="仿宋" w:cs="仿宋"/>
          <w:sz w:val="28"/>
          <w:szCs w:val="28"/>
        </w:rPr>
      </w:pPr>
      <w:r>
        <w:rPr>
          <w:rFonts w:eastAsia="仿宋" w:cs="仿宋" w:ascii="仿宋" w:hAnsi="仿宋"/>
          <w:sz w:val="28"/>
          <w:szCs w:val="28"/>
        </w:rPr>
        <w:t>1</w:t>
      </w:r>
      <w:r>
        <w:rPr>
          <w:rFonts w:ascii="仿宋" w:hAnsi="仿宋" w:cs="仿宋" w:eastAsia="仿宋"/>
          <w:sz w:val="28"/>
          <w:szCs w:val="28"/>
        </w:rPr>
        <w:t>、金融市场部交易员根据网上报价情况进行测算，选择最优价格，经本行有权人审批同意后，与对手方进行交谈、成交，发送报价并打印《质押式回购成交单》一式三份，一份存档、一份交清算中心进行账务处理、一份交结算人员。</w:t>
      </w:r>
    </w:p>
    <w:p>
      <w:pPr>
        <w:pStyle w:val="Normal"/>
        <w:spacing w:lineRule="auto" w:line="360"/>
        <w:ind w:firstLine="537" w:right="0"/>
        <w:rPr>
          <w:rFonts w:ascii="仿宋" w:hAnsi="仿宋" w:eastAsia="仿宋" w:cs="仿宋"/>
          <w:sz w:val="28"/>
          <w:szCs w:val="28"/>
        </w:rPr>
      </w:pPr>
      <w:r>
        <w:rPr>
          <w:rFonts w:eastAsia="仿宋" w:cs="仿宋" w:ascii="仿宋" w:hAnsi="仿宋"/>
          <w:sz w:val="28"/>
          <w:szCs w:val="28"/>
        </w:rPr>
        <w:t>2</w:t>
      </w:r>
      <w:r>
        <w:rPr>
          <w:rFonts w:ascii="仿宋" w:hAnsi="仿宋" w:cs="仿宋" w:eastAsia="仿宋"/>
          <w:sz w:val="28"/>
          <w:szCs w:val="28"/>
        </w:rPr>
        <w:t>、结算人员通过后台结算系统逐笔录入结算指令，复核人员复核并确认无误后发送中央国债登记结算有限公司，同时关注查询债券交割、托管情况。</w:t>
      </w:r>
    </w:p>
    <w:p>
      <w:pPr>
        <w:pStyle w:val="Normal"/>
        <w:spacing w:lineRule="auto" w:line="360"/>
        <w:ind w:firstLine="537" w:right="0"/>
        <w:rPr/>
      </w:pPr>
      <w:r>
        <w:rPr>
          <w:rFonts w:eastAsia="仿宋" w:cs="仿宋" w:ascii="仿宋" w:hAnsi="仿宋"/>
          <w:sz w:val="28"/>
          <w:szCs w:val="28"/>
        </w:rPr>
        <w:t>3</w:t>
      </w:r>
      <w:r>
        <w:rPr>
          <w:rFonts w:ascii="仿宋" w:hAnsi="仿宋" w:cs="仿宋" w:eastAsia="仿宋"/>
          <w:sz w:val="28"/>
          <w:szCs w:val="28"/>
        </w:rPr>
        <w:t>、清算人员凭《质押式回购成交单》所列的金额、品种进行账务处理，对融入性债券投资及时查询资金到账情况。</w:t>
      </w:r>
    </w:p>
    <w:p>
      <w:pPr>
        <w:pStyle w:val="Normal"/>
        <w:spacing w:lineRule="auto" w:line="360" w:before="156" w:after="0"/>
        <w:ind w:firstLine="200" w:right="0"/>
        <w:jc w:val="center"/>
        <w:rPr/>
      </w:pPr>
      <w:r>
        <w:rPr>
          <w:rFonts w:ascii="仿宋" w:hAnsi="仿宋" w:cs="黑体;SimHei" w:eastAsia="仿宋"/>
          <w:b/>
          <w:sz w:val="28"/>
          <w:szCs w:val="28"/>
        </w:rPr>
        <w:t>第五章  债券投资会计核算</w:t>
      </w:r>
    </w:p>
    <w:p>
      <w:pPr>
        <w:pStyle w:val="Normal"/>
        <w:spacing w:lineRule="auto" w:line="360"/>
        <w:ind w:firstLine="537" w:right="0"/>
        <w:rPr/>
      </w:pPr>
      <w:r>
        <w:rPr>
          <w:rFonts w:ascii="仿宋" w:hAnsi="仿宋" w:cs="仿宋" w:eastAsia="仿宋"/>
          <w:sz w:val="28"/>
          <w:szCs w:val="28"/>
        </w:rPr>
        <w:t>第十七条  债券投资交易的资金必须按交易合同指定的银行账户进行收付，如收款方需变更账户，必须提出书面申请，并加盖业务公章。</w:t>
      </w:r>
    </w:p>
    <w:p>
      <w:pPr>
        <w:pStyle w:val="Normal"/>
        <w:spacing w:lineRule="auto" w:line="360"/>
        <w:ind w:firstLine="537" w:right="0"/>
        <w:rPr/>
      </w:pPr>
      <w:r>
        <w:rPr>
          <w:rFonts w:ascii="仿宋" w:hAnsi="仿宋" w:cs="仿宋" w:eastAsia="仿宋"/>
          <w:sz w:val="28"/>
          <w:szCs w:val="28"/>
        </w:rPr>
        <w:t>第十八条  债券交易资金收付必须以银行转账方式进行，不得以现金或其他方式结算，不得在交易合同约定的价款或利息之外收付其他费用。</w:t>
      </w:r>
    </w:p>
    <w:p>
      <w:pPr>
        <w:pStyle w:val="Normal"/>
        <w:spacing w:lineRule="auto" w:line="360"/>
        <w:ind w:firstLine="537" w:right="0"/>
        <w:rPr/>
      </w:pPr>
      <w:r>
        <w:rPr>
          <w:rFonts w:ascii="仿宋" w:hAnsi="仿宋" w:cs="仿宋" w:eastAsia="仿宋"/>
          <w:sz w:val="28"/>
          <w:szCs w:val="28"/>
        </w:rPr>
        <w:t>第十九条  债券投资交易单位为万元，资金清算单位为元，保留两位小数。</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第二十条  债券投资的计价方式。</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（一）短期债券投资（一年以内），购入时投资性债券实际支付的价格不含债券利息时，按实际成本入账；购入的投资性债券实际支付的价款包含利息时，应按实际支付的价款扣除应计利息入账。</w:t>
      </w:r>
    </w:p>
    <w:p>
      <w:pPr>
        <w:pStyle w:val="Normal"/>
        <w:spacing w:lineRule="auto" w:line="360"/>
        <w:ind w:firstLine="537" w:right="0"/>
        <w:rPr/>
      </w:pPr>
      <w:r>
        <w:rPr>
          <w:rFonts w:ascii="仿宋" w:hAnsi="仿宋" w:cs="仿宋" w:eastAsia="仿宋"/>
          <w:sz w:val="28"/>
          <w:szCs w:val="28"/>
        </w:rPr>
        <w:t>（二）长期债券投资（一年以上），购买时无论是按面值、溢价或折价购入，均以实际支付的价款作为债券投资的入账价值，在付款时记账；如果购买债券实际支付价款中含有截至到购买时止的应计利息，则应将这部分应计利息单独记账。</w:t>
      </w:r>
    </w:p>
    <w:p>
      <w:pPr>
        <w:pStyle w:val="Normal"/>
        <w:spacing w:lineRule="auto" w:line="360"/>
        <w:ind w:firstLine="537" w:right="0"/>
        <w:rPr/>
      </w:pPr>
      <w:r>
        <w:rPr>
          <w:rFonts w:ascii="仿宋" w:hAnsi="仿宋" w:cs="仿宋" w:eastAsia="仿宋"/>
          <w:sz w:val="28"/>
          <w:szCs w:val="28"/>
        </w:rPr>
        <w:t>第二十一条  债券投资的具体核算要求。购买债券时，无论是按面值还是按溢价或折价购入，均应以实际支付的价款记账。如果实际支付的价款中含有债券利息，应在“债券投资”科目下设置“应计利息”二级账户核算。要按照权责发生制原则，对购入的债券每年计提利息。如果是溢价购入，其溢价部分应在债券存续期间内提取“应计利息”时摊销。如果是折价购入，其折价部分也应在债券存续期间内提取“应计利息”时摊销。</w:t>
      </w:r>
    </w:p>
    <w:p>
      <w:pPr>
        <w:pStyle w:val="BodyTextIndent"/>
        <w:snapToGrid w:val="true"/>
        <w:spacing w:lineRule="auto" w:line="360"/>
        <w:ind w:firstLine="537" w:right="0"/>
        <w:rPr/>
      </w:pPr>
      <w:r>
        <w:rPr>
          <w:rFonts w:ascii="仿宋" w:hAnsi="仿宋" w:cs="仿宋" w:eastAsia="仿宋"/>
          <w:color w:val="000000"/>
          <w:sz w:val="28"/>
          <w:szCs w:val="28"/>
        </w:rPr>
        <w:t>第二十二条  完善债券投资核算手续。每笔债券买卖交易资金收付必须根据经授权批准的交易合同及审批单办理，并以此作为进行会计核算的依据。划拔资金时，结算员根据成交通知单所列要素出具《资金划拔凭证》，复核员复核，上报部门负责人审批后交清算员，清算员根据交易员提供经审批后的《资金划拔凭证》进行划拔。</w:t>
      </w:r>
    </w:p>
    <w:p>
      <w:pPr>
        <w:pStyle w:val="Normal"/>
        <w:spacing w:lineRule="auto" w:line="360"/>
        <w:ind w:firstLine="537" w:right="0"/>
        <w:rPr/>
      </w:pPr>
      <w:r>
        <w:rPr>
          <w:rFonts w:ascii="仿宋" w:hAnsi="仿宋" w:cs="仿宋" w:eastAsia="仿宋"/>
          <w:sz w:val="28"/>
          <w:szCs w:val="28"/>
        </w:rPr>
        <w:t>第二十三条  定期进行账户核对。包括：与债券托管机构的债券余额核对，与清算银行账户的资金核对，台帐与会计账户核对，做到内外帐一致，发现问题及时核实调整。</w:t>
      </w:r>
    </w:p>
    <w:p>
      <w:pPr>
        <w:pStyle w:val="Normal"/>
        <w:spacing w:lineRule="auto" w:line="360" w:before="156" w:after="0"/>
        <w:ind w:firstLine="200" w:right="0"/>
        <w:jc w:val="center"/>
        <w:rPr/>
      </w:pPr>
      <w:r>
        <w:rPr>
          <w:rFonts w:ascii="仿宋" w:hAnsi="仿宋" w:cs="黑体;SimHei" w:eastAsia="仿宋"/>
          <w:b/>
          <w:sz w:val="28"/>
          <w:szCs w:val="28"/>
        </w:rPr>
        <w:t>第六章  债券投资内控管理</w:t>
      </w:r>
    </w:p>
    <w:p>
      <w:pPr>
        <w:pStyle w:val="Normal"/>
        <w:spacing w:lineRule="auto" w:line="360"/>
        <w:ind w:firstLine="537" w:right="0"/>
        <w:rPr/>
      </w:pPr>
      <w:r>
        <w:rPr>
          <w:rFonts w:ascii="仿宋" w:hAnsi="仿宋" w:cs="仿宋" w:eastAsia="仿宋"/>
          <w:sz w:val="28"/>
          <w:szCs w:val="28"/>
        </w:rPr>
        <w:t>第二十四条  债券投资业务严格按照转授权办法办理，在业务上做到资金交易、债券结算、资金清算严格分工协作，做到业务授权制度化、业务过程规范化。</w:t>
      </w:r>
    </w:p>
    <w:p>
      <w:pPr>
        <w:pStyle w:val="Normal"/>
        <w:spacing w:lineRule="auto" w:line="360"/>
        <w:ind w:firstLine="537" w:right="0"/>
        <w:rPr/>
      </w:pPr>
      <w:r>
        <w:rPr>
          <w:rFonts w:ascii="仿宋" w:hAnsi="仿宋" w:cs="仿宋" w:eastAsia="仿宋"/>
          <w:sz w:val="28"/>
          <w:szCs w:val="28"/>
        </w:rPr>
        <w:t>第二十五条  债券承销业务及现券买卖业务由本行计划财务部会同金融市场部负责人以及债券业务人员根据本行资金状况、市场情况和债券品种等拟定承销意向，并提供相关市场情况、债券要素，形成可行性报告上报给本行分管领导，并按照转授权办法规定实行分级审批会办确定。</w:t>
      </w:r>
    </w:p>
    <w:p>
      <w:pPr>
        <w:pStyle w:val="Normal"/>
        <w:spacing w:lineRule="auto" w:line="360"/>
        <w:ind w:firstLine="537" w:right="0"/>
        <w:rPr/>
      </w:pPr>
      <w:r>
        <w:rPr>
          <w:rFonts w:ascii="仿宋" w:hAnsi="仿宋" w:cs="仿宋" w:eastAsia="仿宋"/>
          <w:sz w:val="28"/>
          <w:szCs w:val="28"/>
        </w:rPr>
        <w:t>第二十六条  债券投资业务印章、密钥及中债</w:t>
      </w:r>
      <w:r>
        <w:rPr>
          <w:rFonts w:eastAsia="仿宋" w:cs="仿宋" w:ascii="仿宋" w:hAnsi="仿宋"/>
          <w:sz w:val="28"/>
          <w:szCs w:val="28"/>
        </w:rPr>
        <w:t>KEY</w:t>
      </w:r>
      <w:r>
        <w:rPr>
          <w:rFonts w:ascii="仿宋" w:hAnsi="仿宋" w:cs="仿宋" w:eastAsia="仿宋"/>
          <w:sz w:val="28"/>
          <w:szCs w:val="28"/>
        </w:rPr>
        <w:t>管理。债券投资业务印章必须入库保管，交易密钥要保持经常性的更换，中债</w:t>
      </w:r>
      <w:r>
        <w:rPr>
          <w:rFonts w:eastAsia="仿宋" w:cs="仿宋" w:ascii="仿宋" w:hAnsi="仿宋"/>
          <w:sz w:val="28"/>
          <w:szCs w:val="28"/>
        </w:rPr>
        <w:t>KEY</w:t>
      </w:r>
      <w:r>
        <w:rPr>
          <w:rFonts w:ascii="仿宋" w:hAnsi="仿宋" w:cs="仿宋" w:eastAsia="仿宋"/>
          <w:sz w:val="28"/>
          <w:szCs w:val="28"/>
        </w:rPr>
        <w:t>实行专人专用，以确保交易的安全。</w:t>
      </w:r>
    </w:p>
    <w:p>
      <w:pPr>
        <w:pStyle w:val="Normal"/>
        <w:spacing w:lineRule="auto" w:line="360" w:before="156" w:after="0"/>
        <w:ind w:firstLine="200" w:right="0"/>
        <w:jc w:val="center"/>
        <w:rPr/>
      </w:pPr>
      <w:r>
        <w:rPr>
          <w:rFonts w:ascii="仿宋" w:hAnsi="仿宋" w:cs="黑体;SimHei" w:eastAsia="仿宋"/>
          <w:b/>
          <w:sz w:val="28"/>
          <w:szCs w:val="28"/>
        </w:rPr>
        <w:t>第七章 资料归档</w:t>
      </w:r>
    </w:p>
    <w:p>
      <w:pPr>
        <w:pStyle w:val="Normal"/>
        <w:spacing w:lineRule="auto" w:line="360"/>
        <w:ind w:firstLine="537" w:right="0"/>
        <w:jc w:val="left"/>
        <w:rPr>
          <w:rFonts w:ascii="仿宋" w:hAnsi="仿宋" w:eastAsia="仿宋" w:cs="仿宋"/>
          <w:sz w:val="28"/>
          <w:szCs w:val="28"/>
        </w:rPr>
      </w:pPr>
      <w:r>
        <w:rPr>
          <w:rFonts w:ascii="仿宋" w:hAnsi="仿宋" w:cs="仿宋" w:eastAsia="仿宋"/>
          <w:sz w:val="28"/>
          <w:szCs w:val="28"/>
        </w:rPr>
        <w:t>第二十七条  交易员应根据成交通知单建立相应的明细台账，按月核对其余额，负责向人民银行、省联社和金融监管部门报送各种相关的报表、资料；</w:t>
      </w:r>
    </w:p>
    <w:p>
      <w:pPr>
        <w:pStyle w:val="Normal"/>
        <w:spacing w:lineRule="auto" w:line="360"/>
        <w:ind w:firstLine="537" w:right="0"/>
        <w:jc w:val="left"/>
        <w:rPr>
          <w:rFonts w:ascii="仿宋" w:hAnsi="仿宋" w:eastAsia="仿宋" w:cs="仿宋"/>
          <w:sz w:val="28"/>
          <w:szCs w:val="28"/>
        </w:rPr>
      </w:pPr>
      <w:r>
        <w:rPr>
          <w:rFonts w:ascii="仿宋" w:hAnsi="仿宋" w:cs="仿宋" w:eastAsia="仿宋"/>
          <w:sz w:val="28"/>
          <w:szCs w:val="28"/>
        </w:rPr>
        <w:t>第二十八条 结算员负责将有关合同、协议、成交单、审批单、资金划拨通知单收集专夹保管，定期整理装订，确保资料完整。</w:t>
      </w:r>
    </w:p>
    <w:p>
      <w:pPr>
        <w:pStyle w:val="Normal"/>
        <w:spacing w:lineRule="auto" w:line="360"/>
        <w:ind w:firstLine="537" w:right="0"/>
        <w:jc w:val="left"/>
        <w:rPr>
          <w:rFonts w:ascii="仿宋" w:hAnsi="仿宋" w:eastAsia="仿宋" w:cs="仿宋"/>
          <w:sz w:val="28"/>
          <w:szCs w:val="28"/>
        </w:rPr>
      </w:pPr>
      <w:r>
        <w:rPr>
          <w:rFonts w:ascii="仿宋" w:hAnsi="仿宋" w:cs="仿宋" w:eastAsia="仿宋"/>
          <w:sz w:val="28"/>
          <w:szCs w:val="28"/>
        </w:rPr>
        <w:t>第二十九条  计划财务部按排专人逐笔审核登记的业务管理台账并做好债券业务的测算及考核。</w:t>
      </w:r>
    </w:p>
    <w:p>
      <w:pPr>
        <w:pStyle w:val="Normal"/>
        <w:spacing w:lineRule="auto" w:line="360" w:before="156" w:after="0"/>
        <w:ind w:firstLine="200" w:right="0"/>
        <w:jc w:val="center"/>
        <w:rPr/>
      </w:pPr>
      <w:r>
        <w:rPr>
          <w:rFonts w:ascii="仿宋" w:hAnsi="仿宋" w:cs="黑体;SimHei" w:eastAsia="仿宋"/>
          <w:b/>
          <w:sz w:val="28"/>
          <w:szCs w:val="28"/>
        </w:rPr>
        <w:t>第八章  附则</w:t>
      </w:r>
    </w:p>
    <w:p>
      <w:pPr>
        <w:pStyle w:val="Normal"/>
        <w:spacing w:lineRule="auto" w:line="360"/>
        <w:ind w:firstLine="537" w:right="0"/>
        <w:rPr>
          <w:rFonts w:eastAsia="仿宋_GB2312;仿宋"/>
          <w:sz w:val="28"/>
          <w:szCs w:val="28"/>
        </w:rPr>
      </w:pPr>
      <w:r>
        <w:rPr>
          <w:rFonts w:ascii="仿宋" w:hAnsi="仿宋" w:cs="仿宋" w:eastAsia="仿宋"/>
          <w:sz w:val="28"/>
          <w:szCs w:val="28"/>
        </w:rPr>
        <w:t>第三十条  本办法由</w:t>
      </w:r>
      <w:r>
        <w:rPr>
          <w:rFonts w:eastAsia="仿宋" w:cs="仿宋" w:ascii="仿宋" w:hAnsi="仿宋"/>
          <w:sz w:val="28"/>
          <w:szCs w:val="28"/>
        </w:rPr>
        <w:t>××××</w:t>
      </w:r>
      <w:r>
        <w:rPr>
          <w:rFonts w:ascii="仿宋" w:hAnsi="仿宋" w:cs="仿宋" w:eastAsia="仿宋"/>
          <w:sz w:val="28"/>
          <w:szCs w:val="28"/>
        </w:rPr>
        <w:t>银行股份有限公司</w:t>
      </w:r>
      <w:r>
        <w:rPr>
          <w:rFonts w:eastAsia="仿宋_GB2312;仿宋"/>
          <w:sz w:val="28"/>
          <w:szCs w:val="28"/>
        </w:rPr>
        <w:t>金融市场部负责解释和修订。</w:t>
      </w:r>
    </w:p>
    <w:p>
      <w:pPr>
        <w:pStyle w:val="Normal"/>
        <w:spacing w:lineRule="auto" w:line="360"/>
        <w:ind w:firstLine="537" w:right="0"/>
        <w:rPr/>
      </w:pPr>
      <w:r>
        <w:rPr>
          <w:rFonts w:ascii="仿宋" w:hAnsi="仿宋" w:cs="仿宋" w:eastAsia="仿宋"/>
          <w:sz w:val="28"/>
          <w:szCs w:val="28"/>
        </w:rPr>
        <w:t>第三十一条  本办法自发布之日起执行。</w:t>
      </w:r>
    </w:p>
    <w:p>
      <w:pPr>
        <w:pStyle w:val="Normal"/>
        <w:spacing w:lineRule="auto" w:line="360"/>
        <w:ind w:firstLine="537" w:right="0"/>
        <w:rPr>
          <w:rFonts w:ascii="仿宋" w:hAnsi="仿宋" w:eastAsia="仿宋" w:cs="仿宋"/>
          <w:sz w:val="28"/>
          <w:szCs w:val="28"/>
        </w:rPr>
      </w:pPr>
      <w:r>
        <w:rPr>
          <w:rFonts w:eastAsia="仿宋" w:cs="仿宋" w:ascii="仿宋" w:hAnsi="仿宋"/>
          <w:sz w:val="28"/>
          <w:szCs w:val="28"/>
        </w:rPr>
      </w:r>
    </w:p>
    <w:sectPr>
      <w:type w:val="nextPage"/>
      <w:pgSz w:w="11906" w:h="16838"/>
      <w:pgMar w:left="1800" w:right="1800" w:gutter="0" w:header="0" w:top="1440" w:footer="0" w:bottom="1440"/>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仿宋_GB2312">
    <w:altName w:val="仿宋"/>
    <w:charset w:val="86"/>
    <w:family w:val="modern"/>
    <w:pitch w:val="default"/>
  </w:font>
  <w:font w:name="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center"/>
      <w:pPr>
        <w:tabs>
          <w:tab w:val="num" w:pos="0"/>
        </w:tabs>
        <w:ind w:left="0" w:firstLine="288"/>
      </w:pPr>
    </w:lvl>
    <w:lvl w:ilvl="1">
      <w:start w:val="1"/>
      <w:pStyle w:val="Heading2"/>
      <w:numFmt w:val="taiwaneseCountingThousand"/>
      <w:lvlText w:val="%2、"/>
      <w:lvlJc w:val="left"/>
      <w:pPr>
        <w:tabs>
          <w:tab w:val="num" w:pos="0"/>
        </w:tabs>
        <w:ind w:left="0" w:firstLine="607"/>
      </w:pPr>
    </w:lvl>
    <w:lvl w:ilvl="2">
      <w:start w:val="1"/>
      <w:pStyle w:val="Heading3"/>
      <w:numFmt w:val="decimal"/>
      <w:lvlText w:val="%3、"/>
      <w:lvlJc w:val="left"/>
      <w:pPr>
        <w:tabs>
          <w:tab w:val="num" w:pos="0"/>
        </w:tabs>
        <w:ind w:left="0" w:firstLine="624"/>
      </w:pPr>
    </w:lvl>
    <w:lvl w:ilvl="3">
      <w:start w:val="1"/>
      <w:pStyle w:val="Heading4"/>
      <w:numFmt w:val="decimal"/>
      <w:lvlText w:val="%4)"/>
      <w:lvlJc w:val="left"/>
      <w:pPr>
        <w:tabs>
          <w:tab w:val="num" w:pos="0"/>
        </w:tabs>
        <w:ind w:left="0" w:firstLine="607"/>
      </w:pPr>
    </w:lvl>
    <w:lvl w:ilvl="4">
      <w:start w:val="1"/>
      <w:pStyle w:val="Heading5"/>
      <w:numFmt w:val="decimal"/>
      <w:lvlText w:val="%5)"/>
      <w:lvlJc w:val="left"/>
      <w:pPr>
        <w:tabs>
          <w:tab w:val="num" w:pos="0"/>
        </w:tabs>
        <w:ind w:left="0" w:firstLine="624"/>
      </w:pPr>
    </w:lvl>
    <w:lvl w:ilvl="5">
      <w:start w:val="1"/>
      <w:pStyle w:val="Heading6"/>
      <w:numFmt w:val="lowerLetter"/>
      <w:lvlText w:val="%6)"/>
      <w:lvlJc w:val="left"/>
      <w:pPr>
        <w:tabs>
          <w:tab w:val="num" w:pos="1800"/>
        </w:tabs>
        <w:ind w:left="1800" w:hanging="360"/>
      </w:pPr>
    </w:lvl>
    <w:lvl w:ilvl="6">
      <w:start w:val="1"/>
      <w:pStyle w:val="Heading7"/>
      <w:numFmt w:val="lowerRoman"/>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880"/>
        </w:tabs>
        <w:ind w:left="2880" w:hanging="36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Heading1">
    <w:name w:val="Heading 1"/>
    <w:basedOn w:val="Normal"/>
    <w:next w:val="Normal"/>
    <w:qFormat/>
    <w:pPr>
      <w:widowControl/>
      <w:numPr>
        <w:ilvl w:val="0"/>
        <w:numId w:val="1"/>
      </w:numPr>
      <w:snapToGrid w:val="false"/>
      <w:ind w:hanging="0" w:left="0" w:right="0"/>
      <w:jc w:val="center"/>
      <w:outlineLvl w:val="0"/>
    </w:pPr>
    <w:rPr>
      <w:rFonts w:ascii="Times New Roman" w:hAnsi="Times New Roman" w:eastAsia="方正小标宋简体;微软雅黑" w:cs="Times New Roman"/>
      <w:color w:val="000000"/>
      <w:sz w:val="44"/>
      <w:szCs w:val="20"/>
    </w:rPr>
  </w:style>
  <w:style w:type="paragraph" w:styleId="Heading2">
    <w:name w:val="Heading 2"/>
    <w:basedOn w:val="Normal"/>
    <w:next w:val="Normal"/>
    <w:qFormat/>
    <w:pPr>
      <w:widowControl/>
      <w:numPr>
        <w:ilvl w:val="1"/>
        <w:numId w:val="1"/>
      </w:numPr>
      <w:snapToGrid w:val="false"/>
      <w:spacing w:lineRule="exact" w:line="566" w:before="260" w:after="260"/>
      <w:jc w:val="center"/>
      <w:outlineLvl w:val="1"/>
    </w:pPr>
    <w:rPr>
      <w:rFonts w:ascii="Arial" w:hAnsi="Arial" w:eastAsia="永中黑体;Times New Roman" w:cs="Arial"/>
      <w:color w:val="000000"/>
      <w:sz w:val="32"/>
      <w:szCs w:val="20"/>
    </w:rPr>
  </w:style>
  <w:style w:type="paragraph" w:styleId="Heading3">
    <w:name w:val="Heading 3"/>
    <w:basedOn w:val="Normal"/>
    <w:next w:val="Normal"/>
    <w:qFormat/>
    <w:pPr>
      <w:widowControl/>
      <w:numPr>
        <w:ilvl w:val="2"/>
        <w:numId w:val="1"/>
      </w:numPr>
      <w:snapToGrid w:val="false"/>
      <w:spacing w:lineRule="exact" w:line="566" w:before="113" w:after="113"/>
      <w:outlineLvl w:val="2"/>
    </w:pPr>
    <w:rPr>
      <w:rFonts w:ascii="Times New Roman" w:hAnsi="Times New Roman" w:eastAsia="永中楷体;Times New Roman" w:cs="Times New Roman"/>
      <w:color w:val="000000"/>
      <w:sz w:val="32"/>
      <w:szCs w:val="20"/>
    </w:rPr>
  </w:style>
  <w:style w:type="paragraph" w:styleId="Heading4">
    <w:name w:val="Heading 4"/>
    <w:basedOn w:val="Normal"/>
    <w:next w:val="Normal"/>
    <w:qFormat/>
    <w:pPr>
      <w:widowControl/>
      <w:numPr>
        <w:ilvl w:val="3"/>
        <w:numId w:val="1"/>
      </w:numPr>
      <w:snapToGrid w:val="false"/>
      <w:spacing w:lineRule="exact" w:line="566"/>
      <w:outlineLvl w:val="3"/>
    </w:pPr>
    <w:rPr>
      <w:rFonts w:ascii="Arial" w:hAnsi="Arial" w:eastAsia="永中仿宋;Times New Roman" w:cs="Arial"/>
      <w:b/>
      <w:color w:val="000000"/>
      <w:sz w:val="32"/>
      <w:szCs w:val="20"/>
    </w:rPr>
  </w:style>
  <w:style w:type="paragraph" w:styleId="Heading5">
    <w:name w:val="Heading 5"/>
    <w:basedOn w:val="Normal"/>
    <w:next w:val="Normal"/>
    <w:qFormat/>
    <w:pPr>
      <w:widowControl/>
      <w:numPr>
        <w:ilvl w:val="4"/>
        <w:numId w:val="1"/>
      </w:numPr>
      <w:snapToGrid w:val="false"/>
      <w:spacing w:lineRule="exact" w:line="566" w:before="260" w:after="260"/>
      <w:outlineLvl w:val="4"/>
    </w:pPr>
    <w:rPr>
      <w:rFonts w:ascii="Times New Roman" w:hAnsi="Times New Roman" w:eastAsia="永中仿宋;Times New Roman" w:cs="Times New Roman"/>
      <w:b/>
      <w:color w:val="000000"/>
      <w:sz w:val="28"/>
      <w:szCs w:val="20"/>
    </w:rPr>
  </w:style>
  <w:style w:type="paragraph" w:styleId="Heading6">
    <w:name w:val="Heading 6"/>
    <w:basedOn w:val="Normal"/>
    <w:next w:val="Normal"/>
    <w:qFormat/>
    <w:pPr>
      <w:widowControl/>
      <w:numPr>
        <w:ilvl w:val="5"/>
        <w:numId w:val="1"/>
      </w:numPr>
      <w:snapToGrid w:val="false"/>
      <w:spacing w:lineRule="exact" w:line="566" w:before="240" w:after="60"/>
      <w:outlineLvl w:val="5"/>
    </w:pPr>
    <w:rPr>
      <w:rFonts w:ascii="Arial" w:hAnsi="Arial" w:eastAsia="永中黑体;Times New Roman" w:cs="Arial"/>
      <w:b/>
      <w:color w:val="000000"/>
      <w:sz w:val="32"/>
      <w:szCs w:val="20"/>
    </w:rPr>
  </w:style>
  <w:style w:type="paragraph" w:styleId="Heading7">
    <w:name w:val="Heading 7"/>
    <w:basedOn w:val="Normal"/>
    <w:next w:val="Normal"/>
    <w:qFormat/>
    <w:pPr>
      <w:widowControl/>
      <w:numPr>
        <w:ilvl w:val="6"/>
        <w:numId w:val="1"/>
      </w:numPr>
      <w:snapToGrid w:val="false"/>
      <w:spacing w:lineRule="exact" w:line="566" w:before="240" w:after="60"/>
      <w:outlineLvl w:val="6"/>
    </w:pPr>
    <w:rPr>
      <w:rFonts w:ascii="Times New Roman" w:hAnsi="Times New Roman" w:eastAsia="永中仿宋;Times New Roman" w:cs="Times New Roman"/>
      <w:b/>
      <w:color w:val="000000"/>
      <w:sz w:val="32"/>
      <w:szCs w:val="20"/>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Style7">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Char2">
    <w:name w:val="批注框文本 Char"/>
    <w:qFormat/>
    <w:rPr>
      <w:kern w:val="2"/>
      <w:sz w:val="18"/>
      <w:szCs w:val="18"/>
    </w:rPr>
  </w:style>
  <w:style w:type="character" w:styleId="Style8">
    <w:name w:val="批注引用"/>
    <w:qFormat/>
    <w:rPr>
      <w:sz w:val="21"/>
      <w:szCs w:val="21"/>
    </w:rPr>
  </w:style>
  <w:style w:type="character" w:styleId="Char3">
    <w:name w:val="批注文字 Char"/>
    <w:qFormat/>
    <w:rPr>
      <w:kern w:val="2"/>
      <w:sz w:val="21"/>
      <w:szCs w:val="22"/>
    </w:rPr>
  </w:style>
  <w:style w:type="character" w:styleId="Char4">
    <w:name w:val="批注主题 Char"/>
    <w:qFormat/>
    <w:rPr>
      <w:b/>
      <w:bCs/>
      <w:kern w:val="2"/>
      <w:sz w:val="21"/>
      <w:szCs w:val="22"/>
    </w:rPr>
  </w:style>
  <w:style w:type="character" w:styleId="Char5">
    <w:name w:val="正文文本 Char"/>
    <w:qFormat/>
    <w:rPr>
      <w:kern w:val="2"/>
      <w:sz w:val="21"/>
      <w:szCs w:val="2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kern w:val="0"/>
      <w:sz w:val="18"/>
      <w:szCs w:val="18"/>
      <w:lang w:val="zh-CN"/>
    </w:rPr>
  </w:style>
  <w:style w:type="paragraph" w:styleId="Footer">
    <w:name w:val="Footer"/>
    <w:basedOn w:val="Normal"/>
    <w:pPr>
      <w:tabs>
        <w:tab w:val="clear" w:pos="420"/>
        <w:tab w:val="center" w:pos="4153" w:leader="none"/>
        <w:tab w:val="right" w:pos="8306" w:leader="none"/>
      </w:tabs>
      <w:snapToGrid w:val="false"/>
      <w:jc w:val="left"/>
    </w:pPr>
    <w:rPr>
      <w:kern w:val="0"/>
      <w:sz w:val="18"/>
      <w:szCs w:val="18"/>
      <w:lang w:val="zh-CN"/>
    </w:rPr>
  </w:style>
  <w:style w:type="paragraph" w:styleId="Style9">
    <w:name w:val="批注框文本"/>
    <w:basedOn w:val="Normal"/>
    <w:qFormat/>
    <w:pPr/>
    <w:rPr>
      <w:sz w:val="18"/>
      <w:szCs w:val="18"/>
      <w:lang w:val="zh-CN"/>
    </w:rPr>
  </w:style>
  <w:style w:type="paragraph" w:styleId="BodyTextIndent">
    <w:name w:val="Body Text Indent"/>
    <w:basedOn w:val="Normal"/>
    <w:pPr>
      <w:widowControl/>
      <w:snapToGrid w:val="false"/>
      <w:spacing w:lineRule="exact" w:line="620"/>
      <w:ind w:firstLine="648" w:left="0" w:right="0"/>
    </w:pPr>
    <w:rPr>
      <w:rFonts w:ascii="仿宋_GB2312;仿宋" w:hAnsi="仿宋_GB2312;仿宋" w:eastAsia="仿宋_GB2312;仿宋" w:cs="Times New Roman"/>
      <w:color w:val="000000"/>
      <w:sz w:val="32"/>
      <w:szCs w:val="20"/>
    </w:rPr>
  </w:style>
  <w:style w:type="paragraph" w:styleId="Style10">
    <w:name w:val="批注文字"/>
    <w:basedOn w:val="Normal"/>
    <w:qFormat/>
    <w:pPr>
      <w:jc w:val="left"/>
    </w:pPr>
    <w:rPr>
      <w:lang w:val="zh-CN"/>
    </w:rPr>
  </w:style>
  <w:style w:type="paragraph" w:styleId="Style11">
    <w:name w:val="批注主题"/>
    <w:basedOn w:val="Style10"/>
    <w:next w:val="Style10"/>
    <w:qFormat/>
    <w:pPr/>
    <w:rPr>
      <w:b/>
      <w:bCs/>
    </w:rPr>
  </w:style>
  <w:style w:type="paragraph" w:styleId="Char1CharCharCharCharCharCharCharCharCharCharCharCharCharCharCharCharCharCharCharCharChar">
    <w:name w:val="Char1 Char Char Char Char Char Char Char Char Char Char Char Char Char Char Char Char Char Char Char Char Char"/>
    <w:basedOn w:val="Normal"/>
    <w:qFormat/>
    <w:pPr>
      <w:tabs>
        <w:tab w:val="clear" w:pos="420"/>
        <w:tab w:val="left" w:pos="360" w:leader="none"/>
      </w:tabs>
      <w:ind w:hanging="360" w:left="360" w:right="0"/>
    </w:pPr>
    <w:rPr>
      <w:rFonts w:ascii="Times New Roman" w:hAnsi="Times New Roman" w:cs="Times New Roman"/>
      <w:sz w:val="24"/>
      <w:szCs w:val="24"/>
    </w:rPr>
  </w:style>
  <w:style w:type="paragraph" w:styleId="Style12">
    <w:name w:val="二级标题"/>
    <w:basedOn w:val="Heading2"/>
    <w:next w:val="Normal"/>
    <w:qFormat/>
    <w:pPr>
      <w:keepNext w:val="true"/>
      <w:keepLines/>
      <w:widowControl w:val="false"/>
      <w:numPr>
        <w:ilvl w:val="0"/>
        <w:numId w:val="0"/>
      </w:numPr>
      <w:snapToGrid w:val="true"/>
      <w:spacing w:lineRule="auto" w:line="360" w:before="0" w:after="0"/>
      <w:ind w:firstLine="200" w:left="0" w:right="0"/>
      <w:outlineLvl w:val="9"/>
    </w:pPr>
    <w:rPr>
      <w:rFonts w:ascii="仿宋_GB2312;仿宋" w:hAnsi="仿宋_GB2312;仿宋" w:eastAsia="仿宋_GB2312;仿宋" w:cs="华文中宋"/>
      <w:b/>
      <w:bCs/>
      <w:color w:val="000000"/>
      <w:sz w:val="28"/>
      <w:szCs w:val="2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209</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2012-08-06T10:13:00Z</dcterms:created>
  <dc:creator>User</dc:creator>
  <dc:description/>
  <cp:keywords/>
  <dc:language>zh-CN</dc:language>
  <cp:lastModifiedBy>方 盈</cp:lastModifiedBy>
  <cp:lastPrinted>2012-11-20T10:30:00Z</cp:lastPrinted>
  <dcterms:modified xsi:type="dcterms:W3CDTF">2020-01-08T20:49:00Z</dcterms:modified>
  <cp:revision>142</cp:revision>
  <dc:subject/>
  <dc:title/>
</cp:coreProperties>
</file>