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宋体;SimSun" w:ascii="仿宋" w:hAnsi="仿宋"/>
          <w:b/>
          <w:sz w:val="28"/>
          <w:szCs w:val="28"/>
        </w:rPr>
        <w:t>××××</w:t>
      </w:r>
      <w:r>
        <w:rPr>
          <w:rFonts w:ascii="仿宋" w:hAnsi="仿宋" w:cs="宋体;SimSun" w:eastAsia="仿宋"/>
          <w:b/>
          <w:sz w:val="28"/>
          <w:szCs w:val="28"/>
        </w:rPr>
        <w:t>银行股份有限公司</w:t>
      </w:r>
    </w:p>
    <w:p>
      <w:pPr>
        <w:pStyle w:val="Style19"/>
        <w:ind w:firstLine="539" w:right="0"/>
        <w:rPr>
          <w:rFonts w:ascii="仿宋" w:hAnsi="仿宋" w:eastAsia="仿宋" w:cs="宋体;SimSun"/>
        </w:rPr>
      </w:pPr>
      <w:r>
        <w:rPr>
          <w:rFonts w:ascii="仿宋" w:hAnsi="仿宋" w:cs="宋体;SimSun" w:eastAsia="仿宋"/>
        </w:rPr>
        <w:t>同业授信业务管理办法</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645" w:right="0"/>
        <w:rPr/>
      </w:pPr>
      <w:r>
        <w:rPr>
          <w:rFonts w:eastAsia="仿宋_GB2312;仿宋"/>
          <w:sz w:val="28"/>
          <w:szCs w:val="28"/>
        </w:rPr>
        <w:t>第一条</w:t>
      </w:r>
      <w:r>
        <w:rPr>
          <w:rFonts w:eastAsia="Times New Roman"/>
          <w:sz w:val="28"/>
          <w:szCs w:val="28"/>
        </w:rPr>
        <w:t xml:space="preserve"> </w:t>
      </w:r>
      <w:r>
        <w:rPr>
          <w:rFonts w:eastAsia="Times New Roman"/>
          <w:sz w:val="28"/>
          <w:szCs w:val="28"/>
        </w:rPr>
        <w:t xml:space="preserve"> </w:t>
      </w:r>
      <w:r>
        <w:rPr>
          <w:rFonts w:eastAsia="仿宋_GB2312;仿宋"/>
          <w:sz w:val="28"/>
          <w:szCs w:val="28"/>
        </w:rPr>
        <w:t>为规范</w:t>
      </w:r>
      <w:r>
        <w:rPr>
          <w:rFonts w:eastAsia="仿宋_GB2312;仿宋"/>
          <w:sz w:val="28"/>
          <w:szCs w:val="28"/>
        </w:rPr>
        <w:t>××××</w:t>
      </w:r>
      <w:r>
        <w:rPr>
          <w:rFonts w:eastAsia="仿宋_GB2312;仿宋"/>
          <w:sz w:val="28"/>
          <w:szCs w:val="28"/>
        </w:rPr>
        <w:t>银行股份有限公司（以下简称</w:t>
      </w:r>
      <w:r>
        <w:rPr>
          <w:rFonts w:ascii="仿宋_GB2312;仿宋" w:hAnsi="仿宋_GB2312;仿宋" w:cs="仿宋_GB2312;仿宋" w:eastAsia="仿宋_GB2312;仿宋"/>
          <w:sz w:val="28"/>
          <w:szCs w:val="28"/>
        </w:rPr>
        <w:t>“</w:t>
      </w:r>
      <w:r>
        <w:rPr>
          <w:rFonts w:eastAsia="仿宋_GB2312;仿宋"/>
          <w:sz w:val="28"/>
          <w:szCs w:val="28"/>
        </w:rPr>
        <w:t>本行”）对境内金融机构的统一授信，防范和控制同业授信风险，保障资产安全，根据《中华人民共和国商业银行法》、《商业银行授权、授信管理暂行办法》等法律、规章及本行相关制度，结合实际情况，制定本办法。</w:t>
      </w:r>
    </w:p>
    <w:p>
      <w:pPr>
        <w:pStyle w:val="Normal"/>
        <w:spacing w:lineRule="auto" w:line="360"/>
        <w:ind w:firstLine="645" w:right="0"/>
        <w:rPr/>
      </w:pPr>
      <w:r>
        <w:rPr>
          <w:rFonts w:eastAsia="仿宋_GB2312;仿宋"/>
          <w:sz w:val="28"/>
          <w:szCs w:val="28"/>
        </w:rPr>
        <w:t>第二条</w:t>
      </w:r>
      <w:r>
        <w:rPr>
          <w:rFonts w:eastAsia="Times New Roman"/>
          <w:sz w:val="28"/>
          <w:szCs w:val="28"/>
        </w:rPr>
        <w:t xml:space="preserve"> </w:t>
      </w:r>
      <w:r>
        <w:rPr>
          <w:rFonts w:eastAsia="Times New Roman"/>
          <w:sz w:val="28"/>
          <w:szCs w:val="28"/>
        </w:rPr>
        <w:t xml:space="preserve"> </w:t>
      </w:r>
      <w:r>
        <w:rPr>
          <w:rFonts w:eastAsia="仿宋_GB2312;仿宋"/>
          <w:sz w:val="28"/>
          <w:szCs w:val="28"/>
        </w:rPr>
        <w:t>同业授信管理是指本行对单一同业客户统一确定最高综合授信额度，并加以集中统一风险控制的资产风险管理制度。</w:t>
      </w:r>
    </w:p>
    <w:p>
      <w:pPr>
        <w:pStyle w:val="Normal"/>
        <w:spacing w:lineRule="auto" w:line="360"/>
        <w:ind w:firstLine="645" w:right="0"/>
        <w:rPr/>
      </w:pPr>
      <w:r>
        <w:rPr>
          <w:rFonts w:eastAsia="仿宋_GB2312;仿宋"/>
          <w:sz w:val="28"/>
          <w:szCs w:val="28"/>
        </w:rPr>
        <w:t>第三条</w:t>
      </w:r>
      <w:r>
        <w:rPr>
          <w:rFonts w:eastAsia="Times New Roman"/>
          <w:sz w:val="28"/>
          <w:szCs w:val="28"/>
        </w:rPr>
        <w:t xml:space="preserve"> </w:t>
      </w:r>
      <w:r>
        <w:rPr>
          <w:rFonts w:eastAsia="Times New Roman"/>
          <w:sz w:val="28"/>
          <w:szCs w:val="28"/>
        </w:rPr>
        <w:t xml:space="preserve"> </w:t>
      </w:r>
      <w:r>
        <w:rPr>
          <w:rFonts w:eastAsia="仿宋_GB2312;仿宋"/>
          <w:sz w:val="28"/>
          <w:szCs w:val="28"/>
        </w:rPr>
        <w:t>本办法适用于境内同业授信额度的评定。本行同业综合授信额度为内部风险控制额度，不是信用提供的承诺，本行不对授信对象承担任何义务，未经本行批准，任何个人和单位不得与金融机构签订任何形式的外部授信协议。</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组织管理体系</w:t>
      </w:r>
    </w:p>
    <w:p>
      <w:pPr>
        <w:pStyle w:val="Normal"/>
        <w:spacing w:lineRule="auto" w:line="360"/>
        <w:ind w:firstLine="645" w:right="0"/>
        <w:rPr>
          <w:sz w:val="28"/>
          <w:szCs w:val="28"/>
        </w:rPr>
      </w:pPr>
      <w:r>
        <w:rPr>
          <w:rFonts w:eastAsia="仿宋_GB2312;仿宋"/>
          <w:sz w:val="28"/>
          <w:szCs w:val="28"/>
        </w:rPr>
        <w:t>第四条</w:t>
      </w:r>
      <w:r>
        <w:rPr>
          <w:rFonts w:eastAsia="Times New Roman"/>
          <w:sz w:val="28"/>
          <w:szCs w:val="28"/>
        </w:rPr>
        <w:t xml:space="preserve">  </w:t>
      </w:r>
      <w:r>
        <w:rPr>
          <w:rFonts w:eastAsia="仿宋_GB2312;仿宋"/>
          <w:sz w:val="28"/>
          <w:szCs w:val="28"/>
        </w:rPr>
        <w:t>金融市场部是金融机构同业授信的用信部门，负责开展对同业客户授信的受理、尽职调查、申报工作，在确定的授信对象和额度范围内办理授信业务，并负责用信后的管理。在日常业务办理过程中，动态监测授信对象可能存在的风险并及时报告。</w:t>
      </w:r>
    </w:p>
    <w:p>
      <w:pPr>
        <w:pStyle w:val="Normal"/>
        <w:spacing w:lineRule="auto" w:line="360"/>
        <w:ind w:firstLine="645" w:right="0"/>
        <w:rPr>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风险管理部负责对金融机构同业授信风险的监督、识别、评估、控制，并向经营管理层进行风险报告。</w:t>
      </w:r>
    </w:p>
    <w:p>
      <w:pPr>
        <w:pStyle w:val="Normal"/>
        <w:spacing w:lineRule="auto" w:line="360"/>
        <w:ind w:firstLine="645" w:right="0"/>
        <w:rPr/>
      </w:pPr>
      <w:r>
        <w:rPr>
          <w:rFonts w:eastAsia="仿宋_GB2312;仿宋"/>
          <w:sz w:val="28"/>
          <w:szCs w:val="28"/>
        </w:rPr>
        <w:t>第六条</w:t>
      </w:r>
      <w:r>
        <w:rPr>
          <w:rFonts w:eastAsia="Times New Roman"/>
          <w:sz w:val="28"/>
          <w:szCs w:val="28"/>
        </w:rPr>
        <w:t xml:space="preserve">  </w:t>
      </w:r>
      <w:r>
        <w:rPr>
          <w:rFonts w:eastAsia="仿宋_GB2312;仿宋"/>
          <w:sz w:val="28"/>
          <w:szCs w:val="28"/>
        </w:rPr>
        <w:t>授信评审部负责对金融同业业务的授信</w:t>
      </w:r>
      <w:r>
        <w:rPr>
          <w:rFonts w:eastAsia="仿宋_GB2312;仿宋"/>
          <w:sz w:val="28"/>
          <w:szCs w:val="28"/>
        </w:rPr>
        <w:t>监督</w:t>
      </w:r>
      <w:r>
        <w:rPr>
          <w:rFonts w:eastAsia="仿宋_GB2312;仿宋"/>
          <w:sz w:val="28"/>
          <w:szCs w:val="28"/>
        </w:rPr>
        <w:t>管理，负责对金融市场部申报的金融机构同业授信进行审核与提交审批。</w:t>
      </w:r>
    </w:p>
    <w:p>
      <w:pPr>
        <w:pStyle w:val="Normal"/>
        <w:spacing w:lineRule="auto" w:line="360"/>
        <w:ind w:firstLine="645" w:right="0"/>
        <w:rPr/>
      </w:pPr>
      <w:r>
        <w:rPr>
          <w:rFonts w:eastAsia="仿宋_GB2312;仿宋"/>
          <w:sz w:val="28"/>
          <w:szCs w:val="28"/>
        </w:rPr>
        <w:t>第七条</w:t>
      </w:r>
      <w:r>
        <w:rPr>
          <w:rFonts w:eastAsia="Times New Roman"/>
          <w:sz w:val="28"/>
          <w:szCs w:val="28"/>
        </w:rPr>
        <w:t xml:space="preserve">  </w:t>
      </w:r>
      <w:r>
        <w:rPr>
          <w:rFonts w:eastAsia="仿宋_GB2312;仿宋"/>
          <w:sz w:val="28"/>
          <w:szCs w:val="28"/>
        </w:rPr>
        <w:t>合规管理部负责审核金融机构同业授信管理办法和流程的合规性和有效性</w:t>
      </w:r>
      <w:r>
        <w:rPr>
          <w:rFonts w:eastAsia="仿宋_GB2312;仿宋"/>
          <w:sz w:val="28"/>
          <w:szCs w:val="28"/>
        </w:rPr>
        <w:t>，对金融市场部授信业务进行检查</w:t>
      </w:r>
      <w:r>
        <w:rPr>
          <w:rFonts w:eastAsia="仿宋_GB2312;仿宋"/>
          <w:sz w:val="28"/>
          <w:szCs w:val="28"/>
        </w:rPr>
        <w:t>。</w:t>
      </w:r>
    </w:p>
    <w:p>
      <w:pPr>
        <w:pStyle w:val="Normal"/>
        <w:spacing w:lineRule="auto" w:line="360"/>
        <w:ind w:firstLine="645" w:right="0"/>
        <w:rPr/>
      </w:pPr>
      <w:r>
        <w:rPr>
          <w:rFonts w:eastAsia="仿宋_GB2312;仿宋"/>
          <w:sz w:val="28"/>
          <w:szCs w:val="28"/>
        </w:rPr>
        <w:t>第八条</w:t>
      </w:r>
      <w:r>
        <w:rPr>
          <w:rFonts w:eastAsia="Times New Roman"/>
          <w:sz w:val="28"/>
          <w:szCs w:val="28"/>
        </w:rPr>
        <w:t xml:space="preserve">  </w:t>
      </w:r>
      <w:r>
        <w:rPr>
          <w:rFonts w:eastAsia="仿宋_GB2312;仿宋"/>
          <w:sz w:val="28"/>
          <w:szCs w:val="28"/>
        </w:rPr>
        <w:t>审计</w:t>
      </w:r>
      <w:r>
        <w:rPr>
          <w:rFonts w:eastAsia="仿宋_GB2312;仿宋"/>
          <w:sz w:val="28"/>
          <w:szCs w:val="28"/>
        </w:rPr>
        <w:t>稽核</w:t>
      </w:r>
      <w:r>
        <w:rPr>
          <w:rFonts w:eastAsia="仿宋_GB2312;仿宋"/>
          <w:sz w:val="28"/>
          <w:szCs w:val="28"/>
        </w:rPr>
        <w:t>部负责对金融机构同业授信进行审计稽核和监督。</w:t>
      </w:r>
    </w:p>
    <w:p>
      <w:pPr>
        <w:pStyle w:val="Normal"/>
        <w:spacing w:lineRule="auto" w:line="360"/>
        <w:ind w:firstLine="645" w:right="0"/>
        <w:rPr/>
      </w:pPr>
      <w:r>
        <w:rPr>
          <w:rFonts w:eastAsia="仿宋_GB2312;仿宋"/>
          <w:sz w:val="28"/>
          <w:szCs w:val="28"/>
        </w:rPr>
        <w:t>第九条</w:t>
      </w:r>
      <w:r>
        <w:rPr>
          <w:rFonts w:eastAsia="Times New Roman"/>
          <w:sz w:val="28"/>
          <w:szCs w:val="28"/>
        </w:rPr>
        <w:t xml:space="preserve">  </w:t>
      </w:r>
      <w:r>
        <w:rPr>
          <w:rFonts w:eastAsia="仿宋_GB2312;仿宋"/>
          <w:sz w:val="28"/>
          <w:szCs w:val="28"/>
        </w:rPr>
        <w:t>信贷</w:t>
      </w:r>
      <w:r>
        <w:rPr>
          <w:rFonts w:eastAsia="仿宋_GB2312;仿宋"/>
          <w:sz w:val="28"/>
          <w:szCs w:val="28"/>
        </w:rPr>
        <w:t>审查委员会负责同业授信业务的审议和决策。</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第三章  授信对象和范围</w:t>
      </w:r>
    </w:p>
    <w:p>
      <w:pPr>
        <w:pStyle w:val="Normal"/>
        <w:spacing w:lineRule="auto" w:line="360"/>
        <w:ind w:firstLine="645" w:right="0"/>
        <w:rPr>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本办法所称授信对象是指法人注册地在我国境内的银行及非银行金融机构，银行类金融机构包括股份制商业银行、城市商业银行、农村商业银行（含农村合作银行）、农村信用社等。非银行类金融机构包括保险公司、证券公司、基金公司、信托公司、财务公司、融资租赁公司等。</w:t>
      </w:r>
    </w:p>
    <w:p>
      <w:pPr>
        <w:pStyle w:val="Normal"/>
        <w:spacing w:lineRule="auto" w:line="360"/>
        <w:ind w:firstLine="645" w:right="0"/>
        <w:rPr>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对于全国性商业银行、上市公司城商行以及总资产余额达到</w:t>
      </w:r>
      <w:r>
        <w:rPr>
          <w:rFonts w:eastAsia="仿宋_GB2312;仿宋"/>
          <w:sz w:val="28"/>
          <w:szCs w:val="28"/>
        </w:rPr>
        <w:t>2000</w:t>
      </w:r>
      <w:r>
        <w:rPr>
          <w:rFonts w:eastAsia="仿宋_GB2312;仿宋"/>
          <w:sz w:val="28"/>
          <w:szCs w:val="28"/>
        </w:rPr>
        <w:t>亿元以上的银行金融机构等同业客户免于授信，按本行单户最高授信额度确定。</w:t>
      </w:r>
    </w:p>
    <w:p>
      <w:pPr>
        <w:pStyle w:val="Normal"/>
        <w:spacing w:lineRule="auto" w:line="360"/>
        <w:ind w:firstLine="645" w:right="0"/>
        <w:rPr>
          <w:sz w:val="28"/>
          <w:szCs w:val="28"/>
        </w:rPr>
      </w:pPr>
      <w:r>
        <w:rPr>
          <w:rFonts w:eastAsia="仿宋_GB2312;仿宋"/>
          <w:sz w:val="28"/>
          <w:szCs w:val="28"/>
        </w:rPr>
        <w:t>第十二条</w:t>
      </w:r>
      <w:r>
        <w:rPr>
          <w:rFonts w:eastAsia="Times New Roman"/>
          <w:sz w:val="28"/>
          <w:szCs w:val="28"/>
        </w:rPr>
        <w:t xml:space="preserve">  </w:t>
      </w:r>
      <w:r>
        <w:rPr>
          <w:rFonts w:eastAsia="仿宋_GB2312;仿宋"/>
          <w:sz w:val="28"/>
          <w:szCs w:val="28"/>
        </w:rPr>
        <w:t>授信对象须具备如下条件：</w:t>
      </w:r>
    </w:p>
    <w:p>
      <w:pPr>
        <w:pStyle w:val="Normal"/>
        <w:spacing w:lineRule="auto" w:line="360"/>
        <w:ind w:firstLine="645" w:right="0"/>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具有独立法人资格、获监管当局批准设立，有权经营金融业务的银行和非银行金融机构</w:t>
      </w:r>
      <w:bookmarkStart w:id="0" w:name="OLE_LINK1"/>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bookmarkEnd w:id="0"/>
      <w:r>
        <w:rPr>
          <w:rFonts w:eastAsia="仿宋_GB2312;仿宋"/>
          <w:sz w:val="28"/>
          <w:szCs w:val="28"/>
        </w:rPr>
        <w:t>成立一年以上，经营及财务状况平稳、无不良记录，重组、分拆、兼并、更名的金融机构如核发新的营业执照和经营金融业务许可证后的期限不到一年的，以其前身单位的存续时间为准；</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获准办理金融机构间融资业务；</w:t>
      </w:r>
    </w:p>
    <w:p>
      <w:pPr>
        <w:pStyle w:val="Normal"/>
        <w:spacing w:lineRule="auto" w:line="360"/>
        <w:ind w:firstLine="645" w:right="0"/>
        <w:rPr/>
      </w:pPr>
      <w:r>
        <w:rPr>
          <w:rFonts w:eastAsia="仿宋_GB2312;仿宋"/>
          <w:sz w:val="28"/>
          <w:szCs w:val="28"/>
        </w:rPr>
        <w:t>(</w:t>
      </w:r>
      <w:r>
        <w:rPr>
          <w:rFonts w:eastAsia="仿宋_GB2312;仿宋"/>
          <w:sz w:val="28"/>
          <w:szCs w:val="28"/>
        </w:rPr>
        <w:t>四</w:t>
      </w:r>
      <w:r>
        <w:rPr>
          <w:rFonts w:eastAsia="仿宋_GB2312;仿宋"/>
          <w:sz w:val="28"/>
          <w:szCs w:val="28"/>
        </w:rPr>
        <w:t>)</w:t>
      </w:r>
      <w:r>
        <w:rPr>
          <w:rFonts w:eastAsia="仿宋_GB2312;仿宋"/>
          <w:sz w:val="28"/>
          <w:szCs w:val="28"/>
        </w:rPr>
        <w:t>银行类金融机构所有者权益折人民币余额不小于</w:t>
      </w:r>
      <w:r>
        <w:rPr>
          <w:rFonts w:eastAsia="仿宋_GB2312;仿宋"/>
          <w:sz w:val="28"/>
          <w:szCs w:val="28"/>
        </w:rPr>
        <w:t>5000</w:t>
      </w:r>
      <w:r>
        <w:rPr>
          <w:rFonts w:eastAsia="仿宋_GB2312;仿宋"/>
          <w:sz w:val="28"/>
          <w:szCs w:val="28"/>
        </w:rPr>
        <w:t>万元；流动性比率不小于</w:t>
      </w:r>
      <w:r>
        <w:rPr>
          <w:rFonts w:eastAsia="仿宋_GB2312;仿宋"/>
          <w:sz w:val="28"/>
          <w:szCs w:val="28"/>
        </w:rPr>
        <w:t>25%</w:t>
      </w:r>
      <w:r>
        <w:rPr>
          <w:rFonts w:eastAsia="仿宋_GB2312;仿宋"/>
          <w:sz w:val="28"/>
          <w:szCs w:val="28"/>
        </w:rPr>
        <w:t>；资本充足率不低于</w:t>
      </w:r>
      <w:r>
        <w:rPr>
          <w:rFonts w:eastAsia="仿宋_GB2312;仿宋"/>
          <w:sz w:val="28"/>
          <w:szCs w:val="28"/>
        </w:rPr>
        <w:t>8%</w:t>
      </w:r>
      <w:r>
        <w:rPr>
          <w:rFonts w:eastAsia="仿宋_GB2312;仿宋"/>
          <w:sz w:val="28"/>
          <w:szCs w:val="28"/>
        </w:rPr>
        <w:t>；总资产不低于</w:t>
      </w:r>
      <w:r>
        <w:rPr>
          <w:rFonts w:eastAsia="仿宋_GB2312;仿宋"/>
          <w:sz w:val="28"/>
          <w:szCs w:val="28"/>
        </w:rPr>
        <w:t>5</w:t>
      </w:r>
      <w:r>
        <w:rPr>
          <w:rFonts w:eastAsia="仿宋_GB2312;仿宋"/>
          <w:sz w:val="28"/>
          <w:szCs w:val="28"/>
        </w:rPr>
        <w:t>0</w:t>
      </w:r>
      <w:r>
        <w:rPr>
          <w:rFonts w:eastAsia="仿宋_GB2312;仿宋"/>
          <w:sz w:val="28"/>
          <w:szCs w:val="28"/>
        </w:rPr>
        <w:t>亿元等。非银行类金融机构相关财务指标</w:t>
      </w:r>
      <w:r>
        <w:rPr>
          <w:rFonts w:eastAsia="仿宋_GB2312;仿宋"/>
          <w:sz w:val="28"/>
          <w:szCs w:val="28"/>
        </w:rPr>
        <w:t>需</w:t>
      </w:r>
      <w:r>
        <w:rPr>
          <w:rFonts w:eastAsia="仿宋_GB2312;仿宋"/>
          <w:sz w:val="28"/>
          <w:szCs w:val="28"/>
        </w:rPr>
        <w:t>符合监管部门要求。</w:t>
      </w:r>
    </w:p>
    <w:p>
      <w:pPr>
        <w:pStyle w:val="Normal"/>
        <w:spacing w:lineRule="auto" w:line="360"/>
        <w:ind w:firstLine="645" w:right="0"/>
        <w:rPr/>
      </w:pPr>
      <w:r>
        <w:rPr>
          <w:rFonts w:eastAsia="仿宋_GB2312;仿宋"/>
          <w:sz w:val="28"/>
          <w:szCs w:val="28"/>
        </w:rPr>
        <w:t>第十三条</w:t>
      </w:r>
      <w:r>
        <w:rPr>
          <w:rFonts w:eastAsia="Times New Roman"/>
          <w:sz w:val="28"/>
          <w:szCs w:val="28"/>
        </w:rPr>
        <w:t xml:space="preserve">  </w:t>
      </w:r>
      <w:r>
        <w:rPr>
          <w:rFonts w:eastAsia="仿宋_GB2312;仿宋"/>
          <w:sz w:val="28"/>
          <w:szCs w:val="28"/>
        </w:rPr>
        <w:t>下</w:t>
      </w:r>
      <w:r>
        <w:rPr>
          <w:rFonts w:eastAsia="仿宋_GB2312;仿宋"/>
          <w:sz w:val="28"/>
          <w:szCs w:val="28"/>
        </w:rPr>
        <w:t>列</w:t>
      </w:r>
      <w:r>
        <w:rPr>
          <w:rFonts w:eastAsia="仿宋_GB2312;仿宋"/>
          <w:sz w:val="28"/>
          <w:szCs w:val="28"/>
        </w:rPr>
        <w:t>交易</w:t>
      </w:r>
      <w:r>
        <w:rPr>
          <w:rFonts w:eastAsia="仿宋_GB2312;仿宋"/>
          <w:sz w:val="28"/>
          <w:szCs w:val="28"/>
        </w:rPr>
        <w:t>需</w:t>
      </w:r>
      <w:r>
        <w:rPr>
          <w:rFonts w:eastAsia="仿宋_GB2312;仿宋"/>
          <w:sz w:val="28"/>
          <w:szCs w:val="28"/>
        </w:rPr>
        <w:t>纳入授信</w:t>
      </w:r>
      <w:r>
        <w:rPr>
          <w:rFonts w:eastAsia="仿宋_GB2312;仿宋"/>
          <w:sz w:val="28"/>
          <w:szCs w:val="28"/>
        </w:rPr>
        <w:t>管理</w:t>
      </w:r>
      <w:r>
        <w:rPr>
          <w:rFonts w:eastAsia="仿宋_GB2312;仿宋"/>
          <w:sz w:val="28"/>
          <w:szCs w:val="28"/>
        </w:rPr>
        <w:t>：</w:t>
      </w:r>
    </w:p>
    <w:p>
      <w:pPr>
        <w:pStyle w:val="Normal"/>
        <w:spacing w:lineRule="auto" w:line="360"/>
        <w:ind w:firstLine="645" w:right="0"/>
        <w:rPr>
          <w:rFonts w:eastAsia="仿宋_GB2312;仿宋"/>
        </w:rPr>
      </w:pPr>
      <w:r>
        <w:rPr>
          <w:rFonts w:eastAsia="仿宋_GB2312;仿宋"/>
          <w:sz w:val="28"/>
          <w:szCs w:val="28"/>
        </w:rPr>
        <w:t>（一）存放同业；</w:t>
      </w:r>
      <w:r>
        <w:rPr>
          <w:rFonts w:eastAsia="Times New Roman"/>
          <w:sz w:val="28"/>
          <w:szCs w:val="28"/>
        </w:rPr>
        <w:t xml:space="preserve"> </w:t>
      </w:r>
    </w:p>
    <w:p>
      <w:pPr>
        <w:pStyle w:val="Normal"/>
        <w:spacing w:lineRule="auto" w:line="360"/>
        <w:ind w:firstLine="645" w:right="0"/>
        <w:rPr>
          <w:rFonts w:eastAsia="仿宋_GB2312;仿宋"/>
        </w:rPr>
      </w:pPr>
      <w:r>
        <w:rPr>
          <w:rFonts w:eastAsia="仿宋_GB2312;仿宋"/>
          <w:sz w:val="28"/>
          <w:szCs w:val="28"/>
        </w:rPr>
        <w:t>（二）资金信用拆出；</w:t>
      </w:r>
      <w:r>
        <w:rPr>
          <w:rFonts w:eastAsia="Times New Roman"/>
          <w:sz w:val="28"/>
          <w:szCs w:val="28"/>
        </w:rPr>
        <w:t xml:space="preserve"> </w:t>
      </w:r>
    </w:p>
    <w:p>
      <w:pPr>
        <w:pStyle w:val="Normal"/>
        <w:spacing w:lineRule="auto" w:line="360"/>
        <w:ind w:firstLine="645" w:right="0"/>
        <w:rPr>
          <w:rFonts w:eastAsia="仿宋_GB2312;仿宋"/>
          <w:sz w:val="28"/>
          <w:szCs w:val="28"/>
        </w:rPr>
      </w:pPr>
      <w:r>
        <w:rPr>
          <w:rFonts w:eastAsia="仿宋_GB2312;仿宋"/>
          <w:sz w:val="28"/>
          <w:szCs w:val="28"/>
        </w:rPr>
        <w:t>（三）投资同业存单；</w:t>
      </w:r>
    </w:p>
    <w:p>
      <w:pPr>
        <w:pStyle w:val="Normal"/>
        <w:spacing w:lineRule="auto" w:line="360"/>
        <w:ind w:firstLine="645" w:right="0"/>
        <w:rPr>
          <w:rFonts w:eastAsia="仿宋_GB2312;仿宋"/>
          <w:sz w:val="28"/>
          <w:szCs w:val="28"/>
        </w:rPr>
      </w:pPr>
      <w:r>
        <w:rPr>
          <w:rFonts w:eastAsia="仿宋_GB2312;仿宋"/>
          <w:sz w:val="28"/>
          <w:szCs w:val="28"/>
        </w:rPr>
        <w:t>（四）票据转贴现；</w:t>
      </w:r>
    </w:p>
    <w:p>
      <w:pPr>
        <w:pStyle w:val="Normal"/>
        <w:spacing w:lineRule="auto" w:line="360"/>
        <w:ind w:firstLine="645" w:right="0"/>
        <w:rPr>
          <w:rFonts w:eastAsia="仿宋_GB2312;仿宋"/>
          <w:sz w:val="28"/>
          <w:szCs w:val="28"/>
        </w:rPr>
      </w:pPr>
      <w:r>
        <w:rPr>
          <w:rFonts w:eastAsia="仿宋_GB2312;仿宋"/>
          <w:sz w:val="28"/>
          <w:szCs w:val="28"/>
        </w:rPr>
        <w:t>（五）其他授信业务。</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第四章  授信额度的方式、期限及占用</w:t>
      </w:r>
    </w:p>
    <w:p>
      <w:pPr>
        <w:pStyle w:val="Normal"/>
        <w:spacing w:lineRule="auto" w:line="360"/>
        <w:ind w:firstLine="645" w:right="0"/>
        <w:rPr>
          <w:sz w:val="28"/>
          <w:szCs w:val="28"/>
        </w:rPr>
      </w:pPr>
      <w:r>
        <w:rPr>
          <w:rFonts w:eastAsia="仿宋_GB2312;仿宋"/>
          <w:sz w:val="28"/>
          <w:szCs w:val="28"/>
        </w:rPr>
        <w:t>第十四条</w:t>
      </w:r>
      <w:r>
        <w:rPr>
          <w:rFonts w:eastAsia="Times New Roman"/>
          <w:sz w:val="28"/>
          <w:szCs w:val="28"/>
        </w:rPr>
        <w:t xml:space="preserve">  </w:t>
      </w:r>
      <w:r>
        <w:rPr>
          <w:rFonts w:eastAsia="仿宋_GB2312;仿宋"/>
          <w:sz w:val="28"/>
          <w:szCs w:val="28"/>
        </w:rPr>
        <w:t>同业授信额度（以下简称授信额度）分为基本授信额度和临时授信额度两种方式。基本授信额度可在额度有效期内循环使用，临时授信额度为一次性额度，不得循环使用；基本授信额度的有效期一般为一年，临时授信的有效期单笔确定，期限一般不得超过基本授信期限。</w:t>
      </w:r>
    </w:p>
    <w:p>
      <w:pPr>
        <w:pStyle w:val="Normal"/>
        <w:spacing w:lineRule="auto" w:line="360"/>
        <w:ind w:firstLine="645" w:right="0"/>
        <w:rPr>
          <w:sz w:val="28"/>
          <w:szCs w:val="28"/>
        </w:rPr>
      </w:pPr>
      <w:r>
        <w:rPr>
          <w:rFonts w:eastAsia="仿宋_GB2312;仿宋"/>
          <w:sz w:val="28"/>
          <w:szCs w:val="28"/>
        </w:rPr>
        <w:t>第十五条</w:t>
      </w:r>
      <w:r>
        <w:rPr>
          <w:rFonts w:eastAsia="Times New Roman"/>
          <w:sz w:val="28"/>
          <w:szCs w:val="28"/>
        </w:rPr>
        <w:t xml:space="preserve">  </w:t>
      </w:r>
      <w:r>
        <w:rPr>
          <w:rFonts w:eastAsia="仿宋_GB2312;仿宋"/>
          <w:sz w:val="28"/>
          <w:szCs w:val="28"/>
        </w:rPr>
        <w:t>同业授信业务的集中度管理：</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单家商业银行对全部法人金融机构的融出资金余额不得超过该银行各项存款的</w:t>
      </w:r>
      <w:r>
        <w:rPr>
          <w:rFonts w:eastAsia="仿宋_GB2312;仿宋"/>
          <w:sz w:val="28"/>
          <w:szCs w:val="28"/>
        </w:rPr>
        <w:t>50%</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单家商业银行对所有非银行金融机构的融出资金余额不得超过该银行资本净额的</w:t>
      </w:r>
      <w:r>
        <w:rPr>
          <w:rFonts w:eastAsia="仿宋_GB2312;仿宋"/>
          <w:sz w:val="28"/>
          <w:szCs w:val="28"/>
        </w:rPr>
        <w:t>25%</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单家商业银行对单一法人机构的同业融出资金扣除风险权重为</w:t>
      </w:r>
      <w:r>
        <w:rPr>
          <w:rFonts w:eastAsia="仿宋_GB2312;仿宋"/>
          <w:sz w:val="28"/>
          <w:szCs w:val="28"/>
        </w:rPr>
        <w:t>0</w:t>
      </w:r>
      <w:r>
        <w:rPr>
          <w:rFonts w:eastAsia="仿宋_GB2312;仿宋"/>
          <w:sz w:val="28"/>
          <w:szCs w:val="28"/>
        </w:rPr>
        <w:t>的资产以及风险缓释后的净额不得超过该银行一级资本的</w:t>
      </w:r>
      <w:r>
        <w:rPr>
          <w:rFonts w:eastAsia="仿宋_GB2312;仿宋"/>
          <w:sz w:val="28"/>
          <w:szCs w:val="28"/>
        </w:rPr>
        <w:t>50%</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四</w:t>
      </w:r>
      <w:r>
        <w:rPr>
          <w:rFonts w:eastAsia="仿宋_GB2312;仿宋"/>
          <w:sz w:val="28"/>
          <w:szCs w:val="28"/>
        </w:rPr>
        <w:t>)</w:t>
      </w:r>
      <w:r>
        <w:rPr>
          <w:rFonts w:eastAsia="仿宋_GB2312;仿宋"/>
          <w:sz w:val="28"/>
          <w:szCs w:val="28"/>
        </w:rPr>
        <w:t>中国银监会根据审慎监管需要</w:t>
      </w:r>
      <w:r>
        <w:rPr>
          <w:rFonts w:eastAsia="仿宋_GB2312;仿宋"/>
          <w:sz w:val="28"/>
          <w:szCs w:val="28"/>
        </w:rPr>
        <w:t>适时</w:t>
      </w:r>
      <w:r>
        <w:rPr>
          <w:rFonts w:eastAsia="仿宋_GB2312;仿宋"/>
          <w:sz w:val="28"/>
          <w:szCs w:val="28"/>
        </w:rPr>
        <w:t>调整该比例</w:t>
      </w:r>
      <w:r>
        <w:rPr>
          <w:rFonts w:eastAsia="仿宋_GB2312;仿宋"/>
          <w:sz w:val="28"/>
          <w:szCs w:val="28"/>
        </w:rPr>
        <w:t>。</w:t>
      </w:r>
    </w:p>
    <w:p>
      <w:pPr>
        <w:pStyle w:val="Normal"/>
        <w:spacing w:lineRule="auto" w:line="360"/>
        <w:ind w:firstLine="645" w:right="0"/>
        <w:rPr>
          <w:sz w:val="28"/>
          <w:szCs w:val="28"/>
        </w:rPr>
      </w:pPr>
      <w:r>
        <w:rPr>
          <w:rFonts w:eastAsia="仿宋_GB2312;仿宋"/>
          <w:sz w:val="28"/>
          <w:szCs w:val="28"/>
        </w:rPr>
        <w:t>第十六条</w:t>
      </w:r>
      <w:r>
        <w:rPr>
          <w:rFonts w:eastAsia="Times New Roman"/>
          <w:sz w:val="28"/>
          <w:szCs w:val="28"/>
        </w:rPr>
        <w:t xml:space="preserve">  </w:t>
      </w:r>
      <w:r>
        <w:rPr>
          <w:rFonts w:eastAsia="仿宋_GB2312;仿宋"/>
          <w:sz w:val="28"/>
          <w:szCs w:val="28"/>
        </w:rPr>
        <w:t>授信额度一般为免担保的额度，也可以是抵、质押或保证下的额度；既可以是包含多个产品单项额度的总额度，也可以是单个产品的单项额度。总额度内各单项额度可以调剂使用。</w:t>
      </w:r>
    </w:p>
    <w:p>
      <w:pPr>
        <w:pStyle w:val="Normal"/>
        <w:spacing w:lineRule="auto" w:line="360"/>
        <w:ind w:firstLine="645" w:right="0"/>
        <w:rPr/>
      </w:pPr>
      <w:r>
        <w:rPr>
          <w:rFonts w:eastAsia="仿宋_GB2312;仿宋"/>
          <w:sz w:val="28"/>
          <w:szCs w:val="28"/>
        </w:rPr>
        <w:t>第十七条</w:t>
      </w:r>
      <w:r>
        <w:rPr>
          <w:rFonts w:eastAsia="Times New Roman"/>
          <w:sz w:val="28"/>
          <w:szCs w:val="28"/>
        </w:rPr>
        <w:t xml:space="preserve">  </w:t>
      </w:r>
      <w:r>
        <w:rPr>
          <w:rFonts w:eastAsia="仿宋_GB2312;仿宋"/>
          <w:sz w:val="28"/>
          <w:szCs w:val="28"/>
        </w:rPr>
        <w:t>按照集中统一控制原则，授信仅针对一级法人机构，不对分支机构授信。法人的各</w:t>
      </w:r>
      <w:r>
        <w:rPr>
          <w:rFonts w:eastAsia="仿宋_GB2312;仿宋"/>
          <w:sz w:val="28"/>
          <w:szCs w:val="28"/>
        </w:rPr>
        <w:t>分支机构</w:t>
      </w:r>
      <w:r>
        <w:rPr>
          <w:rFonts w:eastAsia="仿宋_GB2312;仿宋"/>
          <w:sz w:val="28"/>
          <w:szCs w:val="28"/>
        </w:rPr>
        <w:t>与我行发生业务纳入其总行</w:t>
      </w:r>
      <w:r>
        <w:rPr>
          <w:rFonts w:eastAsia="仿宋_GB2312;仿宋"/>
          <w:sz w:val="28"/>
          <w:szCs w:val="28"/>
        </w:rPr>
        <w:t>同业统一授信</w:t>
      </w:r>
      <w:r>
        <w:rPr>
          <w:rFonts w:eastAsia="仿宋_GB2312;仿宋"/>
          <w:sz w:val="28"/>
          <w:szCs w:val="28"/>
        </w:rPr>
        <w:t>管理。</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第五章  授信实施</w:t>
      </w:r>
    </w:p>
    <w:p>
      <w:pPr>
        <w:pStyle w:val="Normal"/>
        <w:spacing w:lineRule="auto" w:line="360"/>
        <w:ind w:firstLine="645" w:right="0"/>
        <w:rPr>
          <w:rFonts w:eastAsia="仿宋_GB2312;仿宋"/>
          <w:sz w:val="28"/>
          <w:szCs w:val="28"/>
        </w:rPr>
      </w:pPr>
      <w:r>
        <w:rPr>
          <w:rFonts w:eastAsia="仿宋_GB2312;仿宋"/>
          <w:sz w:val="28"/>
          <w:szCs w:val="28"/>
        </w:rPr>
        <w:t>第十</w:t>
      </w:r>
      <w:r>
        <w:rPr>
          <w:rFonts w:eastAsia="仿宋_GB2312;仿宋"/>
          <w:sz w:val="28"/>
          <w:szCs w:val="28"/>
        </w:rPr>
        <w:t>八</w:t>
      </w:r>
      <w:r>
        <w:rPr>
          <w:rFonts w:eastAsia="仿宋_GB2312;仿宋"/>
          <w:sz w:val="28"/>
          <w:szCs w:val="28"/>
        </w:rPr>
        <w:t>条</w:t>
      </w:r>
      <w:r>
        <w:rPr>
          <w:rFonts w:eastAsia="Times New Roman"/>
          <w:sz w:val="28"/>
          <w:szCs w:val="28"/>
        </w:rPr>
        <w:t xml:space="preserve">  </w:t>
      </w:r>
      <w:r>
        <w:rPr>
          <w:rFonts w:eastAsia="仿宋_GB2312;仿宋"/>
          <w:sz w:val="28"/>
          <w:szCs w:val="28"/>
        </w:rPr>
        <w:t>基本授信额度申报由金融市场部负责发起，按要求收集拟授信对象的相关资料，填制授信申请表，经</w:t>
      </w:r>
      <w:r>
        <w:rPr>
          <w:rFonts w:ascii="仿宋_GB2312;仿宋" w:hAnsi="仿宋_GB2312;仿宋" w:cs="仿宋" w:eastAsia="仿宋_GB2312;仿宋"/>
          <w:sz w:val="28"/>
          <w:szCs w:val="28"/>
        </w:rPr>
        <w:t>风险</w:t>
      </w:r>
      <w:r>
        <w:rPr>
          <w:rFonts w:ascii="仿宋_GB2312;仿宋" w:hAnsi="仿宋_GB2312;仿宋" w:cs="仿宋" w:eastAsia="仿宋_GB2312;仿宋"/>
          <w:sz w:val="28"/>
          <w:szCs w:val="28"/>
        </w:rPr>
        <w:t>经理</w:t>
      </w:r>
      <w:r>
        <w:rPr>
          <w:rFonts w:ascii="仿宋_GB2312;仿宋" w:hAnsi="仿宋_GB2312;仿宋" w:cs="仿宋" w:eastAsia="仿宋_GB2312;仿宋"/>
          <w:sz w:val="28"/>
          <w:szCs w:val="28"/>
        </w:rPr>
        <w:t>审</w:t>
      </w:r>
      <w:r>
        <w:rPr>
          <w:rFonts w:ascii="仿宋_GB2312;仿宋" w:hAnsi="仿宋_GB2312;仿宋" w:cs="仿宋" w:eastAsia="仿宋_GB2312;仿宋"/>
          <w:sz w:val="28"/>
          <w:szCs w:val="28"/>
        </w:rPr>
        <w:t>核，部门负责人审批同意后，</w:t>
      </w:r>
      <w:r>
        <w:rPr>
          <w:rFonts w:ascii="仿宋_GB2312;仿宋" w:hAnsi="仿宋_GB2312;仿宋" w:cs="仿宋" w:eastAsia="仿宋_GB2312;仿宋"/>
          <w:sz w:val="28"/>
          <w:szCs w:val="28"/>
        </w:rPr>
        <w:t>报授信</w:t>
      </w:r>
      <w:r>
        <w:rPr>
          <w:rFonts w:ascii="仿宋_GB2312;仿宋" w:hAnsi="仿宋_GB2312;仿宋" w:cs="仿宋" w:eastAsia="仿宋_GB2312;仿宋"/>
          <w:sz w:val="28"/>
          <w:szCs w:val="28"/>
        </w:rPr>
        <w:t>管理部门</w:t>
      </w:r>
      <w:r>
        <w:rPr>
          <w:rFonts w:ascii="仿宋_GB2312;仿宋" w:hAnsi="仿宋_GB2312;仿宋" w:cs="仿宋" w:eastAsia="仿宋_GB2312;仿宋"/>
          <w:sz w:val="28"/>
          <w:szCs w:val="28"/>
        </w:rPr>
        <w:t>审</w:t>
      </w:r>
      <w:r>
        <w:rPr>
          <w:rFonts w:ascii="仿宋_GB2312;仿宋" w:hAnsi="仿宋_GB2312;仿宋" w:cs="仿宋" w:eastAsia="仿宋_GB2312;仿宋"/>
          <w:sz w:val="28"/>
          <w:szCs w:val="28"/>
        </w:rPr>
        <w:t>查后出具审查意见提交信贷审查委员会审议决策。</w:t>
      </w:r>
    </w:p>
    <w:p>
      <w:pPr>
        <w:pStyle w:val="Normal"/>
        <w:spacing w:lineRule="auto" w:line="360"/>
        <w:ind w:firstLine="645" w:right="0"/>
        <w:rPr/>
      </w:pPr>
      <w:r>
        <w:rPr>
          <w:rFonts w:eastAsia="仿宋_GB2312;仿宋"/>
          <w:sz w:val="28"/>
          <w:szCs w:val="28"/>
        </w:rPr>
        <w:t>第十九条</w:t>
      </w:r>
      <w:r>
        <w:rPr>
          <w:rFonts w:eastAsia="Times New Roman"/>
          <w:sz w:val="28"/>
          <w:szCs w:val="28"/>
        </w:rPr>
        <w:t xml:space="preserve">  </w:t>
      </w:r>
      <w:r>
        <w:rPr>
          <w:rFonts w:eastAsia="仿宋_GB2312;仿宋"/>
          <w:sz w:val="28"/>
          <w:szCs w:val="28"/>
        </w:rPr>
        <w:t>临时授信额度申报操作按照基本授信额度申报程序进行。临时授信额度为一次性额度，针对特定业务办理，业务终结自动失效。</w:t>
      </w:r>
    </w:p>
    <w:p>
      <w:pPr>
        <w:pStyle w:val="Normal"/>
        <w:spacing w:lineRule="auto" w:line="360"/>
        <w:ind w:firstLine="645" w:right="0"/>
        <w:rPr>
          <w:rFonts w:eastAsia="仿宋_GB2312;仿宋"/>
          <w:sz w:val="28"/>
          <w:szCs w:val="28"/>
        </w:rPr>
      </w:pPr>
      <w:r>
        <w:rPr>
          <w:rFonts w:eastAsia="仿宋_GB2312;仿宋"/>
          <w:sz w:val="28"/>
          <w:szCs w:val="28"/>
        </w:rPr>
        <w:t>第</w:t>
      </w:r>
      <w:r>
        <w:rPr>
          <w:rFonts w:eastAsia="仿宋_GB2312;仿宋"/>
          <w:sz w:val="28"/>
          <w:szCs w:val="28"/>
        </w:rPr>
        <w:t>二十</w:t>
      </w:r>
      <w:r>
        <w:rPr>
          <w:rFonts w:eastAsia="仿宋_GB2312;仿宋"/>
          <w:sz w:val="28"/>
          <w:szCs w:val="28"/>
        </w:rPr>
        <w:t>条</w:t>
      </w:r>
      <w:r>
        <w:rPr>
          <w:rFonts w:eastAsia="Times New Roman"/>
          <w:sz w:val="28"/>
          <w:szCs w:val="28"/>
        </w:rPr>
        <w:t xml:space="preserve">  </w:t>
      </w:r>
      <w:r>
        <w:rPr>
          <w:rFonts w:eastAsia="仿宋_GB2312;仿宋"/>
          <w:sz w:val="28"/>
          <w:szCs w:val="28"/>
        </w:rPr>
        <w:t>在授信决策中，</w:t>
      </w:r>
      <w:r>
        <w:rPr>
          <w:rFonts w:eastAsia="仿宋_GB2312;仿宋"/>
          <w:sz w:val="28"/>
          <w:szCs w:val="28"/>
        </w:rPr>
        <w:t>本行行长</w:t>
      </w:r>
      <w:r>
        <w:rPr>
          <w:rFonts w:eastAsia="仿宋_GB2312;仿宋"/>
          <w:sz w:val="28"/>
          <w:szCs w:val="28"/>
        </w:rPr>
        <w:t>享有</w:t>
      </w:r>
      <w:r>
        <w:rPr>
          <w:rFonts w:eastAsia="仿宋_GB2312;仿宋"/>
          <w:sz w:val="28"/>
          <w:szCs w:val="28"/>
        </w:rPr>
        <w:t>行使一票否决</w:t>
      </w:r>
      <w:r>
        <w:rPr>
          <w:rFonts w:eastAsia="仿宋_GB2312;仿宋"/>
          <w:sz w:val="28"/>
          <w:szCs w:val="28"/>
        </w:rPr>
        <w:t>的</w:t>
      </w:r>
      <w:r>
        <w:rPr>
          <w:rFonts w:eastAsia="仿宋_GB2312;仿宋"/>
          <w:sz w:val="28"/>
          <w:szCs w:val="28"/>
        </w:rPr>
        <w:t>权</w:t>
      </w:r>
      <w:r>
        <w:rPr>
          <w:rFonts w:eastAsia="仿宋_GB2312;仿宋"/>
          <w:sz w:val="28"/>
          <w:szCs w:val="28"/>
        </w:rPr>
        <w:t>利。</w:t>
      </w:r>
    </w:p>
    <w:p>
      <w:pPr>
        <w:pStyle w:val="Normal"/>
        <w:spacing w:lineRule="auto" w:line="360" w:before="156" w:after="0"/>
        <w:ind w:firstLine="200" w:right="0"/>
        <w:jc w:val="center"/>
        <w:rPr/>
      </w:pPr>
      <w:r>
        <w:rPr>
          <w:rFonts w:ascii="仿宋" w:hAnsi="仿宋" w:cs="黑体;SimHei" w:eastAsia="仿宋"/>
          <w:b/>
          <w:sz w:val="28"/>
          <w:szCs w:val="28"/>
        </w:rPr>
        <w:t>第六章  授信</w:t>
      </w:r>
      <w:r>
        <w:rPr>
          <w:rFonts w:ascii="仿宋" w:hAnsi="仿宋" w:cs="黑体;SimHei" w:eastAsia="仿宋"/>
          <w:b/>
          <w:sz w:val="28"/>
          <w:szCs w:val="28"/>
        </w:rPr>
        <w:t>工作的组织</w:t>
      </w:r>
      <w:r>
        <w:rPr>
          <w:rFonts w:ascii="仿宋" w:hAnsi="仿宋" w:cs="黑体;SimHei" w:eastAsia="仿宋"/>
          <w:b/>
          <w:sz w:val="28"/>
          <w:szCs w:val="28"/>
        </w:rPr>
        <w:t>管理</w:t>
      </w:r>
    </w:p>
    <w:p>
      <w:pPr>
        <w:pStyle w:val="Normal"/>
        <w:spacing w:lineRule="auto" w:line="360"/>
        <w:ind w:firstLine="645" w:right="0"/>
        <w:rPr>
          <w:sz w:val="28"/>
          <w:szCs w:val="28"/>
        </w:rPr>
      </w:pPr>
      <w:r>
        <w:rPr>
          <w:rFonts w:eastAsia="仿宋_GB2312;仿宋"/>
          <w:sz w:val="28"/>
          <w:szCs w:val="28"/>
        </w:rPr>
        <w:t>第二十一条</w:t>
      </w:r>
      <w:r>
        <w:rPr>
          <w:rFonts w:eastAsia="Times New Roman"/>
          <w:sz w:val="28"/>
          <w:szCs w:val="28"/>
        </w:rPr>
        <w:t xml:space="preserve">  </w:t>
      </w:r>
      <w:r>
        <w:rPr>
          <w:rFonts w:eastAsia="仿宋_GB2312;仿宋"/>
          <w:sz w:val="28"/>
          <w:szCs w:val="28"/>
        </w:rPr>
        <w:t>金融市场部业务经办人员建立客户档案，对同业机构的基础资料、授信批准文件、额度使用核准文件、交易资料等进行归档管理，并建立相应交易台账，记录授信执行情况。</w:t>
      </w:r>
    </w:p>
    <w:p>
      <w:pPr>
        <w:pStyle w:val="Normal"/>
        <w:spacing w:lineRule="auto" w:line="360"/>
        <w:ind w:firstLine="645" w:right="0"/>
        <w:rPr>
          <w:sz w:val="28"/>
          <w:szCs w:val="28"/>
        </w:rPr>
      </w:pPr>
      <w:r>
        <w:rPr>
          <w:rFonts w:eastAsia="仿宋_GB2312;仿宋"/>
          <w:sz w:val="28"/>
          <w:szCs w:val="28"/>
        </w:rPr>
        <w:t>第二十二条</w:t>
      </w:r>
      <w:r>
        <w:rPr>
          <w:rFonts w:eastAsia="Times New Roman"/>
          <w:sz w:val="28"/>
          <w:szCs w:val="28"/>
        </w:rPr>
        <w:t xml:space="preserve">  </w:t>
      </w:r>
      <w:r>
        <w:rPr>
          <w:rFonts w:eastAsia="仿宋_GB2312;仿宋"/>
          <w:sz w:val="28"/>
          <w:szCs w:val="28"/>
        </w:rPr>
        <w:t>金融市场部负责控制同业授信额度使用情况，并分同业授信对象登记相应交易台账，用信额度不得突破同业授信额度。</w:t>
      </w:r>
    </w:p>
    <w:p>
      <w:pPr>
        <w:pStyle w:val="Normal"/>
        <w:spacing w:lineRule="auto" w:line="360"/>
        <w:ind w:firstLine="645" w:right="0"/>
        <w:rPr/>
      </w:pPr>
      <w:r>
        <w:rPr>
          <w:rFonts w:eastAsia="仿宋_GB2312;仿宋"/>
          <w:sz w:val="28"/>
          <w:szCs w:val="28"/>
        </w:rPr>
        <w:t>第二十三条</w:t>
      </w:r>
      <w:r>
        <w:rPr>
          <w:rFonts w:eastAsia="Times New Roman"/>
          <w:sz w:val="28"/>
          <w:szCs w:val="28"/>
        </w:rPr>
        <w:t xml:space="preserve">  </w:t>
      </w:r>
      <w:r>
        <w:rPr>
          <w:rFonts w:eastAsia="仿宋_GB2312;仿宋"/>
          <w:sz w:val="28"/>
          <w:szCs w:val="28"/>
        </w:rPr>
        <w:t>金融市场部业务经办人员要密切关注已用信客户使用和管理过程中的信息，以便在更新额度时综合考虑。</w:t>
      </w:r>
    </w:p>
    <w:p>
      <w:pPr>
        <w:pStyle w:val="Normal"/>
        <w:spacing w:lineRule="auto" w:line="360"/>
        <w:ind w:firstLine="645" w:right="0"/>
        <w:rPr>
          <w:rFonts w:eastAsia="仿宋_GB2312;仿宋"/>
          <w:sz w:val="28"/>
          <w:szCs w:val="28"/>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授信对象出现</w:t>
      </w:r>
      <w:r>
        <w:rPr>
          <w:rFonts w:eastAsia="仿宋_GB2312;仿宋"/>
          <w:sz w:val="28"/>
          <w:szCs w:val="28"/>
        </w:rPr>
        <w:t>下列情况</w:t>
      </w:r>
      <w:r>
        <w:rPr>
          <w:rFonts w:eastAsia="仿宋_GB2312;仿宋"/>
          <w:sz w:val="28"/>
          <w:szCs w:val="28"/>
        </w:rPr>
        <w:t>时</w:t>
      </w:r>
      <w:r>
        <w:rPr>
          <w:rFonts w:eastAsia="仿宋_GB2312;仿宋"/>
          <w:sz w:val="28"/>
          <w:szCs w:val="28"/>
        </w:rPr>
        <w:t>，</w:t>
      </w:r>
      <w:r>
        <w:rPr>
          <w:rFonts w:eastAsia="仿宋_GB2312;仿宋"/>
          <w:sz w:val="28"/>
          <w:szCs w:val="28"/>
        </w:rPr>
        <w:t>金融市场部可直接调整、暂停</w:t>
      </w:r>
      <w:r>
        <w:rPr>
          <w:rFonts w:eastAsia="仿宋_GB2312;仿宋"/>
          <w:sz w:val="28"/>
          <w:szCs w:val="28"/>
        </w:rPr>
        <w:t>或</w:t>
      </w:r>
      <w:r>
        <w:rPr>
          <w:rFonts w:eastAsia="仿宋_GB2312;仿宋"/>
          <w:sz w:val="28"/>
          <w:szCs w:val="28"/>
        </w:rPr>
        <w:t>终止对授信对象的</w:t>
      </w:r>
      <w:r>
        <w:rPr>
          <w:rFonts w:eastAsia="仿宋_GB2312;仿宋"/>
          <w:sz w:val="28"/>
          <w:szCs w:val="28"/>
        </w:rPr>
        <w:t>授信</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（一）出现重大经营困难或财务危机，包括但不限于：所有者权益折人民币余额小于</w:t>
      </w:r>
      <w:r>
        <w:rPr>
          <w:rFonts w:eastAsia="仿宋_GB2312;仿宋"/>
          <w:sz w:val="28"/>
          <w:szCs w:val="28"/>
        </w:rPr>
        <w:t>5000</w:t>
      </w:r>
      <w:r>
        <w:rPr>
          <w:rFonts w:eastAsia="仿宋_GB2312;仿宋"/>
          <w:sz w:val="28"/>
          <w:szCs w:val="28"/>
        </w:rPr>
        <w:t>万元；流动性比率小于</w:t>
      </w:r>
      <w:r>
        <w:rPr>
          <w:rFonts w:eastAsia="仿宋_GB2312;仿宋"/>
          <w:sz w:val="28"/>
          <w:szCs w:val="28"/>
        </w:rPr>
        <w:t>25%</w:t>
      </w:r>
      <w:r>
        <w:rPr>
          <w:rFonts w:eastAsia="仿宋_GB2312;仿宋"/>
          <w:sz w:val="28"/>
          <w:szCs w:val="28"/>
        </w:rPr>
        <w:t>；发生亏损且无明显改善；</w:t>
      </w:r>
    </w:p>
    <w:p>
      <w:pPr>
        <w:pStyle w:val="Normal"/>
        <w:spacing w:lineRule="auto" w:line="360"/>
        <w:ind w:firstLine="645" w:right="0"/>
        <w:rPr/>
      </w:pPr>
      <w:r>
        <w:rPr>
          <w:rFonts w:eastAsia="仿宋_GB2312;仿宋"/>
          <w:sz w:val="28"/>
          <w:szCs w:val="28"/>
        </w:rPr>
        <w:t>（二）</w:t>
      </w:r>
      <w:r>
        <w:rPr>
          <w:rFonts w:eastAsia="仿宋_GB2312;仿宋"/>
          <w:sz w:val="28"/>
          <w:szCs w:val="28"/>
        </w:rPr>
        <w:t>出现重大违规或</w:t>
      </w:r>
      <w:r>
        <w:rPr>
          <w:rFonts w:eastAsia="仿宋_GB2312;仿宋"/>
          <w:sz w:val="28"/>
          <w:szCs w:val="28"/>
        </w:rPr>
        <w:t>违约行为；</w:t>
      </w:r>
    </w:p>
    <w:p>
      <w:pPr>
        <w:pStyle w:val="Normal"/>
        <w:spacing w:lineRule="auto" w:line="360"/>
        <w:ind w:firstLine="645" w:right="0"/>
        <w:rPr/>
      </w:pPr>
      <w:r>
        <w:rPr>
          <w:rFonts w:eastAsia="仿宋_GB2312;仿宋"/>
          <w:sz w:val="28"/>
          <w:szCs w:val="28"/>
        </w:rPr>
        <w:t>（三）提供</w:t>
      </w:r>
      <w:r>
        <w:rPr>
          <w:rFonts w:eastAsia="仿宋_GB2312;仿宋"/>
          <w:sz w:val="28"/>
          <w:szCs w:val="28"/>
        </w:rPr>
        <w:t>虚假</w:t>
      </w:r>
      <w:r>
        <w:rPr>
          <w:rFonts w:eastAsia="仿宋_GB2312;仿宋"/>
          <w:sz w:val="28"/>
          <w:szCs w:val="28"/>
        </w:rPr>
        <w:t>授信资料</w:t>
      </w:r>
      <w:r>
        <w:rPr>
          <w:rFonts w:eastAsia="仿宋_GB2312;仿宋"/>
          <w:sz w:val="28"/>
          <w:szCs w:val="28"/>
        </w:rPr>
        <w:t>的</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（四）发生兼并、收购、重组等重大事项；</w:t>
      </w:r>
    </w:p>
    <w:p>
      <w:pPr>
        <w:pStyle w:val="Normal"/>
        <w:spacing w:lineRule="auto" w:line="360"/>
        <w:ind w:firstLine="645" w:right="0"/>
        <w:rPr>
          <w:rFonts w:eastAsia="仿宋_GB2312;仿宋"/>
          <w:sz w:val="28"/>
          <w:szCs w:val="28"/>
        </w:rPr>
      </w:pPr>
      <w:r>
        <w:rPr>
          <w:rFonts w:eastAsia="仿宋_GB2312;仿宋"/>
          <w:sz w:val="28"/>
          <w:szCs w:val="28"/>
        </w:rPr>
        <w:t>（五）授信对象涉及重大法律诉讼；</w:t>
      </w:r>
    </w:p>
    <w:p>
      <w:pPr>
        <w:pStyle w:val="Normal"/>
        <w:spacing w:lineRule="auto" w:line="360"/>
        <w:ind w:firstLine="645" w:right="0"/>
        <w:rPr>
          <w:rFonts w:eastAsia="仿宋_GB2312;仿宋"/>
          <w:sz w:val="28"/>
          <w:szCs w:val="28"/>
        </w:rPr>
      </w:pPr>
      <w:r>
        <w:rPr>
          <w:rFonts w:eastAsia="仿宋_GB2312;仿宋"/>
          <w:sz w:val="28"/>
          <w:szCs w:val="28"/>
        </w:rPr>
        <w:t>（六）著名评级公司对授信对象的信用等级评定结果有重大调整；</w:t>
      </w:r>
    </w:p>
    <w:p>
      <w:pPr>
        <w:pStyle w:val="Normal"/>
        <w:spacing w:lineRule="auto" w:line="360"/>
        <w:ind w:firstLine="645" w:right="0"/>
        <w:rPr>
          <w:rFonts w:eastAsia="仿宋_GB2312;仿宋"/>
          <w:sz w:val="28"/>
          <w:szCs w:val="28"/>
        </w:rPr>
      </w:pPr>
      <w:r>
        <w:rPr>
          <w:rFonts w:eastAsia="仿宋_GB2312;仿宋"/>
          <w:sz w:val="28"/>
          <w:szCs w:val="28"/>
        </w:rPr>
        <w:t>（七）其他可能影响本行资金安全的事件或隐患。</w:t>
      </w:r>
    </w:p>
    <w:p>
      <w:pPr>
        <w:pStyle w:val="Normal"/>
        <w:spacing w:lineRule="auto" w:line="360" w:before="156" w:after="0"/>
        <w:ind w:firstLine="200" w:right="0"/>
        <w:jc w:val="center"/>
        <w:rPr/>
      </w:pPr>
      <w:r>
        <w:rPr>
          <w:rFonts w:ascii="仿宋" w:hAnsi="仿宋" w:cs="黑体;SimHei" w:eastAsia="仿宋"/>
          <w:b/>
          <w:sz w:val="28"/>
          <w:szCs w:val="28"/>
        </w:rPr>
        <w:t xml:space="preserve">第七章  </w:t>
      </w:r>
      <w:r>
        <w:rPr>
          <w:rFonts w:ascii="仿宋" w:hAnsi="仿宋" w:cs="黑体;SimHei" w:eastAsia="仿宋"/>
          <w:b/>
          <w:sz w:val="28"/>
          <w:szCs w:val="28"/>
        </w:rPr>
        <w:t>授信工作的监督</w:t>
      </w:r>
      <w:r>
        <w:rPr>
          <w:rFonts w:ascii="仿宋" w:hAnsi="仿宋" w:cs="黑体;SimHei" w:eastAsia="仿宋"/>
          <w:b/>
          <w:sz w:val="28"/>
          <w:szCs w:val="28"/>
        </w:rPr>
        <w:t>管理</w:t>
      </w:r>
    </w:p>
    <w:p>
      <w:pPr>
        <w:pStyle w:val="Normal"/>
        <w:spacing w:lineRule="auto" w:line="360" w:before="156" w:after="0"/>
        <w:ind w:firstLine="537" w:right="0"/>
        <w:rPr>
          <w:bCs/>
          <w:sz w:val="28"/>
          <w:szCs w:val="28"/>
        </w:rPr>
      </w:pPr>
      <w:r>
        <w:rPr>
          <w:rFonts w:eastAsia="仿宋_GB2312;仿宋"/>
          <w:bCs/>
          <w:sz w:val="28"/>
          <w:szCs w:val="28"/>
        </w:rPr>
        <w:t>第二十五条</w:t>
      </w:r>
      <w:r>
        <w:rPr>
          <w:rFonts w:eastAsia="Times New Roman"/>
          <w:bCs/>
          <w:sz w:val="28"/>
          <w:szCs w:val="28"/>
        </w:rPr>
        <w:t xml:space="preserve">  </w:t>
      </w:r>
      <w:r>
        <w:rPr>
          <w:rFonts w:eastAsia="仿宋_GB2312;仿宋"/>
          <w:bCs/>
          <w:sz w:val="28"/>
          <w:szCs w:val="28"/>
        </w:rPr>
        <w:t>授信评审部负责组织、管理和监督对金融同业的授信工作，并对授信的执行情况进行集中控制和监测。</w:t>
      </w:r>
    </w:p>
    <w:p>
      <w:pPr>
        <w:pStyle w:val="Normal"/>
        <w:spacing w:lineRule="auto" w:line="360" w:before="156" w:after="0"/>
        <w:ind w:firstLine="537" w:right="0"/>
        <w:rPr>
          <w:bCs/>
          <w:sz w:val="28"/>
          <w:szCs w:val="28"/>
        </w:rPr>
      </w:pPr>
      <w:r>
        <w:rPr>
          <w:rFonts w:eastAsia="仿宋_GB2312;仿宋"/>
          <w:bCs/>
          <w:sz w:val="28"/>
          <w:szCs w:val="28"/>
        </w:rPr>
        <w:t>第二十六条</w:t>
      </w:r>
      <w:r>
        <w:rPr>
          <w:rFonts w:eastAsia="Times New Roman"/>
          <w:bCs/>
          <w:sz w:val="28"/>
          <w:szCs w:val="28"/>
        </w:rPr>
        <w:t xml:space="preserve">  </w:t>
      </w:r>
      <w:r>
        <w:rPr>
          <w:rFonts w:eastAsia="仿宋_GB2312;仿宋"/>
          <w:bCs/>
          <w:sz w:val="28"/>
          <w:szCs w:val="28"/>
        </w:rPr>
        <w:t>合规管理部负责对金融市场部授信工作进行监督和定期检查，发现越权审批授权额度或超额度授信等违规行为，在调查核实的基础上，决定调直或撤销使用权限，对情况严重的或造成较大损失的，应按照相关规定追究当事人及有关负责人的责任。</w:t>
      </w:r>
    </w:p>
    <w:p>
      <w:pPr>
        <w:pStyle w:val="Normal"/>
        <w:spacing w:lineRule="auto" w:line="360" w:before="156" w:after="0"/>
        <w:ind w:firstLine="537" w:right="0"/>
        <w:rPr>
          <w:bCs/>
          <w:sz w:val="28"/>
          <w:szCs w:val="28"/>
        </w:rPr>
      </w:pPr>
      <w:r>
        <w:rPr>
          <w:rFonts w:eastAsia="仿宋_GB2312;仿宋"/>
          <w:bCs/>
          <w:sz w:val="28"/>
          <w:szCs w:val="28"/>
        </w:rPr>
        <w:t>第二十七条</w:t>
      </w:r>
      <w:r>
        <w:rPr>
          <w:rFonts w:eastAsia="Times New Roman"/>
          <w:bCs/>
          <w:sz w:val="28"/>
          <w:szCs w:val="28"/>
        </w:rPr>
        <w:t xml:space="preserve">  </w:t>
      </w:r>
      <w:r>
        <w:rPr>
          <w:rFonts w:eastAsia="仿宋_GB2312;仿宋"/>
          <w:bCs/>
          <w:sz w:val="28"/>
          <w:szCs w:val="28"/>
        </w:rPr>
        <w:t>金融市场部要加强对授信对象的动态管理，及时了解授信对象的资信和业务变动情况，不得放松日常风险管理。</w:t>
      </w:r>
    </w:p>
    <w:p>
      <w:pPr>
        <w:pStyle w:val="Normal"/>
        <w:spacing w:lineRule="auto" w:line="360" w:before="156" w:after="0"/>
        <w:ind w:firstLine="537" w:right="0"/>
        <w:rPr>
          <w:bCs/>
          <w:sz w:val="28"/>
          <w:szCs w:val="28"/>
        </w:rPr>
      </w:pPr>
      <w:r>
        <w:rPr>
          <w:rFonts w:eastAsia="仿宋_GB2312;仿宋"/>
          <w:bCs/>
          <w:sz w:val="28"/>
          <w:szCs w:val="28"/>
        </w:rPr>
        <w:t>第二十八条</w:t>
      </w:r>
      <w:r>
        <w:rPr>
          <w:rFonts w:eastAsia="Times New Roman"/>
          <w:bCs/>
          <w:sz w:val="28"/>
          <w:szCs w:val="28"/>
        </w:rPr>
        <w:t xml:space="preserve">  </w:t>
      </w:r>
      <w:r>
        <w:rPr>
          <w:rFonts w:eastAsia="仿宋_GB2312;仿宋"/>
          <w:bCs/>
          <w:sz w:val="28"/>
          <w:szCs w:val="28"/>
        </w:rPr>
        <w:t>金融市场部应定期将业务使用情况、业务风险状况、授信对象的经营作风和与我行合作的态度反馈给授信评审部，出现特殊情况或重大信息，应立即上报信贷审查委员会。</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第八章  附则</w:t>
      </w:r>
    </w:p>
    <w:p>
      <w:pPr>
        <w:pStyle w:val="Normal"/>
        <w:spacing w:lineRule="auto" w:line="360"/>
        <w:ind w:firstLine="645" w:right="0"/>
        <w:rPr/>
      </w:pPr>
      <w:r>
        <w:rPr>
          <w:rFonts w:eastAsia="仿宋_GB2312;仿宋"/>
          <w:sz w:val="28"/>
          <w:szCs w:val="28"/>
        </w:rPr>
        <w:t>第二十</w:t>
      </w:r>
      <w:r>
        <w:rPr>
          <w:rFonts w:eastAsia="仿宋_GB2312;仿宋"/>
          <w:sz w:val="28"/>
          <w:szCs w:val="28"/>
        </w:rPr>
        <w:t>九</w:t>
      </w:r>
      <w:r>
        <w:rPr>
          <w:rFonts w:eastAsia="仿宋_GB2312;仿宋"/>
          <w:sz w:val="28"/>
          <w:szCs w:val="28"/>
        </w:rPr>
        <w:t>条</w:t>
      </w:r>
      <w:r>
        <w:rPr>
          <w:rFonts w:eastAsia="Times New Roman"/>
          <w:sz w:val="28"/>
          <w:szCs w:val="28"/>
        </w:rPr>
        <w:t xml:space="preserve">  </w:t>
      </w:r>
      <w:r>
        <w:rPr>
          <w:rFonts w:eastAsia="仿宋_GB2312;仿宋"/>
          <w:sz w:val="28"/>
          <w:szCs w:val="28"/>
        </w:rPr>
        <w:t>本办法未尽事宜，参照有关规定执行。</w:t>
      </w:r>
    </w:p>
    <w:p>
      <w:pPr>
        <w:pStyle w:val="Normal"/>
        <w:spacing w:lineRule="auto" w:line="360"/>
        <w:ind w:firstLine="645" w:right="0"/>
        <w:rPr>
          <w:rFonts w:eastAsia="仿宋_GB2312;仿宋"/>
          <w:sz w:val="28"/>
          <w:szCs w:val="28"/>
        </w:rPr>
      </w:pPr>
      <w:r>
        <w:rPr>
          <w:rFonts w:eastAsia="仿宋_GB2312;仿宋"/>
          <w:sz w:val="28"/>
          <w:szCs w:val="28"/>
        </w:rPr>
        <w:t>第</w:t>
      </w:r>
      <w:r>
        <w:rPr>
          <w:rFonts w:eastAsia="仿宋_GB2312;仿宋"/>
          <w:sz w:val="28"/>
          <w:szCs w:val="28"/>
        </w:rPr>
        <w:t>三</w:t>
      </w:r>
      <w:r>
        <w:rPr>
          <w:rFonts w:eastAsia="仿宋_GB2312;仿宋"/>
          <w:sz w:val="28"/>
          <w:szCs w:val="28"/>
        </w:rPr>
        <w:t>十条</w:t>
      </w:r>
      <w:r>
        <w:rPr>
          <w:rFonts w:eastAsia="Times New Roman"/>
          <w:sz w:val="28"/>
          <w:szCs w:val="28"/>
        </w:rPr>
        <w:t xml:space="preserve">  </w:t>
      </w:r>
      <w:r>
        <w:rPr>
          <w:rFonts w:eastAsia="仿宋_GB2312;仿宋"/>
          <w:sz w:val="28"/>
          <w:szCs w:val="28"/>
        </w:rPr>
        <w:t>本办法由</w:t>
      </w:r>
      <w:r>
        <w:rPr>
          <w:rFonts w:eastAsia="仿宋_GB2312;仿宋"/>
          <w:sz w:val="28"/>
          <w:szCs w:val="28"/>
        </w:rPr>
        <w:t>××××</w:t>
      </w:r>
      <w:r>
        <w:rPr>
          <w:rFonts w:eastAsia="仿宋_GB2312;仿宋"/>
          <w:sz w:val="28"/>
          <w:szCs w:val="28"/>
        </w:rPr>
        <w:t>银行股份有限公司金融市场部负责解释和修订。</w:t>
      </w:r>
    </w:p>
    <w:p>
      <w:pPr>
        <w:pStyle w:val="Normal"/>
        <w:spacing w:lineRule="auto" w:line="360"/>
        <w:ind w:firstLine="645" w:right="0"/>
        <w:rPr/>
      </w:pPr>
      <w:r>
        <w:rPr>
          <w:rFonts w:eastAsia="仿宋_GB2312;仿宋"/>
          <w:sz w:val="28"/>
          <w:szCs w:val="28"/>
        </w:rPr>
        <w:t>第</w:t>
      </w:r>
      <w:r>
        <w:rPr>
          <w:rFonts w:eastAsia="仿宋_GB2312;仿宋"/>
          <w:sz w:val="28"/>
          <w:szCs w:val="28"/>
        </w:rPr>
        <w:t>三</w:t>
      </w:r>
      <w:r>
        <w:rPr>
          <w:rFonts w:eastAsia="仿宋_GB2312;仿宋"/>
          <w:sz w:val="28"/>
          <w:szCs w:val="28"/>
        </w:rPr>
        <w:t>十</w:t>
      </w:r>
      <w:r>
        <w:rPr>
          <w:rFonts w:eastAsia="仿宋_GB2312;仿宋"/>
          <w:sz w:val="28"/>
          <w:szCs w:val="28"/>
        </w:rPr>
        <w:t>一</w:t>
      </w:r>
      <w:r>
        <w:rPr>
          <w:rFonts w:eastAsia="仿宋_GB2312;仿宋"/>
          <w:sz w:val="28"/>
          <w:szCs w:val="28"/>
        </w:rPr>
        <w:t>条</w:t>
      </w:r>
      <w:r>
        <w:rPr>
          <w:rFonts w:eastAsia="Times New Roman"/>
          <w:sz w:val="28"/>
          <w:szCs w:val="28"/>
        </w:rPr>
        <w:t xml:space="preserve">  </w:t>
      </w:r>
      <w:r>
        <w:rPr>
          <w:rFonts w:eastAsia="仿宋_GB2312;仿宋"/>
          <w:sz w:val="28"/>
          <w:szCs w:val="28"/>
        </w:rPr>
        <w:t>本办法自</w:t>
      </w:r>
      <w:r>
        <w:rPr>
          <w:rFonts w:eastAsia="仿宋_GB2312;仿宋"/>
          <w:sz w:val="28"/>
          <w:szCs w:val="28"/>
        </w:rPr>
        <w:t>公</w:t>
      </w:r>
      <w:r>
        <w:rPr>
          <w:rFonts w:eastAsia="仿宋_GB2312;仿宋"/>
          <w:sz w:val="28"/>
          <w:szCs w:val="28"/>
        </w:rPr>
        <w:t>布之日起</w:t>
      </w:r>
      <w:r>
        <w:rPr>
          <w:rFonts w:eastAsia="仿宋_GB2312;仿宋"/>
          <w:sz w:val="28"/>
          <w:szCs w:val="28"/>
        </w:rPr>
        <w:t>实施</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r>
    </w:p>
    <w:p>
      <w:pPr>
        <w:pStyle w:val="Normal"/>
        <w:spacing w:lineRule="auto" w:line="360"/>
        <w:ind w:firstLine="645" w:right="0"/>
        <w:rPr>
          <w:rFonts w:eastAsia="仿宋_GB2312;仿宋"/>
          <w:sz w:val="28"/>
          <w:szCs w:val="28"/>
        </w:rPr>
      </w:pPr>
      <w:r>
        <w:rPr>
          <w:rFonts w:eastAsia="仿宋_GB2312;仿宋"/>
          <w:sz w:val="28"/>
          <w:szCs w:val="28"/>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EndnoteCharacters">
    <w:name w:val="Endnote Characters"/>
    <w:qFormat/>
    <w:rPr>
      <w:vertAlign w:val="superscript"/>
    </w:rPr>
  </w:style>
  <w:style w:type="character" w:styleId="2Char">
    <w:name w:val="标题 2 Char"/>
    <w:qFormat/>
    <w:rPr>
      <w:rFonts w:ascii="Calibri Light" w:hAnsi="Calibri Light" w:eastAsia="宋体;SimSun" w:cs="Times New Roman"/>
      <w:b/>
      <w:bCs/>
      <w:kern w:val="2"/>
      <w:sz w:val="32"/>
      <w:szCs w:val="32"/>
    </w:rPr>
  </w:style>
  <w:style w:type="character" w:styleId="Char">
    <w:name w:val="尾注文本 Char"/>
    <w:qFormat/>
    <w:rPr>
      <w:kern w:val="2"/>
      <w:sz w:val="21"/>
      <w:szCs w:val="24"/>
    </w:rPr>
  </w:style>
  <w:style w:type="character" w:styleId="Char1">
    <w:name w:val="批注框文本 Char"/>
    <w:qFormat/>
    <w:rPr>
      <w:kern w:val="2"/>
      <w:sz w:val="18"/>
      <w:szCs w:val="18"/>
    </w:rPr>
  </w:style>
  <w:style w:type="character" w:styleId="PageNumber">
    <w:name w:val="Page Number"/>
    <w:basedOn w:val="Style13"/>
    <w:rPr/>
  </w:style>
  <w:style w:type="character" w:styleId="Style14">
    <w:name w:val="批注引用"/>
    <w:qFormat/>
    <w:rPr>
      <w:sz w:val="21"/>
      <w:szCs w:val="21"/>
    </w:rPr>
  </w:style>
  <w:style w:type="character" w:styleId="Char2">
    <w:name w:val="批注主题 Char"/>
    <w:qFormat/>
    <w:rPr>
      <w:b/>
      <w:bCs/>
      <w:kern w:val="2"/>
      <w:sz w:val="21"/>
      <w:szCs w:val="24"/>
    </w:rPr>
  </w:style>
  <w:style w:type="character" w:styleId="Char3">
    <w:name w:val="页脚 Char"/>
    <w:qFormat/>
    <w:rPr>
      <w:kern w:val="2"/>
      <w:sz w:val="18"/>
      <w:szCs w:val="18"/>
    </w:rPr>
  </w:style>
  <w:style w:type="character" w:styleId="Char4">
    <w:name w:val="批注文字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Text">
    <w:name w:val="Endnote Text"/>
    <w:basedOn w:val="Normal"/>
    <w:pPr>
      <w:snapToGrid w:val="false"/>
      <w:jc w:val="left"/>
    </w:pPr>
    <w:rPr/>
  </w:style>
  <w:style w:type="paragraph" w:styleId="Style17">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Style18">
    <w:name w:val="批注主题"/>
    <w:basedOn w:val="Style15"/>
    <w:next w:val="Style15"/>
    <w:qFormat/>
    <w:pPr/>
    <w:rPr>
      <w:b/>
      <w:bCs/>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2014-06-04T09:18:00Z</dcterms:created>
  <dc:creator>Administrator</dc:creator>
  <dc:description/>
  <cp:keywords/>
  <dc:language>zh-CN</dc:language>
  <cp:lastModifiedBy>方 盈</cp:lastModifiedBy>
  <cp:lastPrinted>2014-06-04T16:35:00Z</cp:lastPrinted>
  <dcterms:modified xsi:type="dcterms:W3CDTF">2020-01-08T20:45:00Z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