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539" w:right="0"/>
        <w:jc w:val="center"/>
        <w:rPr/>
      </w:pPr>
      <w:r>
        <w:rPr>
          <w:rFonts w:eastAsia="仿宋" w:cs="仿宋" w:ascii="仿宋" w:hAnsi="仿宋"/>
          <w:b/>
          <w:sz w:val="28"/>
          <w:szCs w:val="28"/>
        </w:rPr>
        <w:t>××××</w:t>
      </w:r>
      <w:r>
        <w:rPr>
          <w:rFonts w:ascii="仿宋" w:hAnsi="仿宋" w:cs="仿宋" w:eastAsia="仿宋"/>
          <w:b/>
          <w:sz w:val="28"/>
          <w:szCs w:val="28"/>
        </w:rPr>
        <w:t>银行股份有限公司</w:t>
      </w:r>
    </w:p>
    <w:p>
      <w:pPr>
        <w:pStyle w:val="Style21"/>
        <w:ind w:firstLine="539" w:right="0"/>
        <w:rPr>
          <w:rFonts w:ascii="仿宋" w:hAnsi="仿宋" w:eastAsia="仿宋" w:cs="仿宋"/>
        </w:rPr>
      </w:pPr>
      <w:r>
        <w:rPr>
          <w:rFonts w:ascii="仿宋" w:hAnsi="仿宋" w:cs="仿宋" w:eastAsia="仿宋"/>
        </w:rPr>
        <w:t>商业汇票转贴现业务管理办法</w:t>
      </w:r>
    </w:p>
    <w:p>
      <w:pPr>
        <w:pStyle w:val="Normal"/>
        <w:spacing w:lineRule="auto" w:line="360" w:before="156" w:after="0"/>
        <w:ind w:firstLine="200" w:right="0"/>
        <w:jc w:val="center"/>
        <w:rPr>
          <w:rFonts w:ascii="仿宋" w:hAnsi="仿宋" w:eastAsia="仿宋" w:cs="仿宋"/>
          <w:b/>
          <w:sz w:val="28"/>
          <w:szCs w:val="28"/>
        </w:rPr>
      </w:pPr>
      <w:r>
        <w:rPr>
          <w:rFonts w:ascii="仿宋" w:hAnsi="仿宋" w:cs="仿宋" w:eastAsia="仿宋"/>
          <w:b/>
          <w:sz w:val="28"/>
          <w:szCs w:val="28"/>
        </w:rPr>
        <w:t>第一章  总则</w:t>
      </w:r>
    </w:p>
    <w:p>
      <w:pPr>
        <w:pStyle w:val="Normal"/>
        <w:spacing w:lineRule="auto" w:line="360"/>
        <w:ind w:firstLine="537" w:right="0"/>
        <w:rPr/>
      </w:pPr>
      <w:r>
        <w:rPr>
          <w:rFonts w:ascii="仿宋" w:hAnsi="仿宋" w:cs="仿宋" w:eastAsia="仿宋"/>
          <w:sz w:val="28"/>
          <w:szCs w:val="28"/>
        </w:rPr>
        <w:t>第一条  为促进</w:t>
      </w:r>
      <w:r>
        <w:rPr>
          <w:rFonts w:eastAsia="仿宋" w:cs="仿宋" w:ascii="仿宋" w:hAnsi="仿宋"/>
          <w:sz w:val="28"/>
          <w:szCs w:val="28"/>
        </w:rPr>
        <w:t>××××</w:t>
      </w:r>
      <w:r>
        <w:rPr>
          <w:rFonts w:ascii="仿宋" w:hAnsi="仿宋" w:cs="仿宋" w:eastAsia="仿宋"/>
          <w:sz w:val="28"/>
          <w:szCs w:val="28"/>
        </w:rPr>
        <w:t>银行股份有限公司</w:t>
      </w:r>
      <w:r>
        <w:rPr>
          <w:rFonts w:eastAsia="仿宋" w:cs="仿宋" w:ascii="仿宋" w:hAnsi="仿宋"/>
          <w:sz w:val="28"/>
          <w:szCs w:val="28"/>
        </w:rPr>
        <w:t>(</w:t>
      </w:r>
      <w:r>
        <w:rPr>
          <w:rFonts w:ascii="仿宋" w:hAnsi="仿宋" w:cs="仿宋" w:eastAsia="仿宋"/>
          <w:sz w:val="28"/>
          <w:szCs w:val="28"/>
        </w:rPr>
        <w:t>以下简称“本行”</w:t>
      </w:r>
      <w:r>
        <w:rPr>
          <w:rFonts w:eastAsia="仿宋" w:cs="仿宋" w:ascii="仿宋" w:hAnsi="仿宋"/>
          <w:sz w:val="28"/>
          <w:szCs w:val="28"/>
        </w:rPr>
        <w:t>)</w:t>
      </w:r>
      <w:r>
        <w:rPr>
          <w:rFonts w:ascii="仿宋" w:hAnsi="仿宋" w:cs="仿宋" w:eastAsia="仿宋"/>
          <w:sz w:val="28"/>
          <w:szCs w:val="28"/>
        </w:rPr>
        <w:t>商业汇票转贴现业务的健康发展，加强风险管理，完善内控管理制度，规范操作流程，根据《中华人民共和国票据法》、《票据管理实施办法》、</w:t>
      </w:r>
      <w:r>
        <w:rPr>
          <w:rFonts w:ascii="仿宋" w:hAnsi="仿宋" w:cs="仿宋" w:eastAsia="仿宋"/>
          <w:sz w:val="28"/>
          <w:szCs w:val="28"/>
          <w:shd w:fill="FFFFFF" w:val="clear"/>
        </w:rPr>
        <w:t>《</w:t>
      </w:r>
      <w:r>
        <w:rPr>
          <w:rFonts w:ascii="仿宋" w:hAnsi="仿宋" w:cs="仿宋" w:eastAsia="仿宋"/>
          <w:sz w:val="28"/>
          <w:szCs w:val="28"/>
        </w:rPr>
        <w:t>商业汇票承兑、贴现与再贴现管理暂行办法》及有关法律、法规，结合本行实际，特制定本办法。</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第二条  本办法所称商业汇票是指出票人签发的，委托付款人在指定日期无条件支付确定的金额给收款人或者持票人的商业票据。分为商业承兑汇票和银行承兑汇票。</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第三条  商业承兑汇票由银行以外的付款人承兑，银行承兑汇票由银行承兑</w:t>
      </w:r>
      <w:r>
        <w:rPr>
          <w:rFonts w:eastAsia="仿宋" w:cs="仿宋" w:ascii="仿宋" w:hAnsi="仿宋"/>
          <w:sz w:val="28"/>
          <w:szCs w:val="28"/>
        </w:rPr>
        <w:t>,</w:t>
      </w:r>
      <w:r>
        <w:rPr>
          <w:rFonts w:ascii="仿宋" w:hAnsi="仿宋" w:cs="仿宋" w:eastAsia="仿宋"/>
          <w:sz w:val="28"/>
          <w:szCs w:val="28"/>
        </w:rPr>
        <w:t>商业汇票的付款人为承兑人。</w:t>
      </w:r>
    </w:p>
    <w:p>
      <w:pPr>
        <w:pStyle w:val="Normal"/>
        <w:spacing w:lineRule="auto" w:line="360"/>
        <w:ind w:firstLine="537" w:right="0"/>
        <w:rPr/>
      </w:pPr>
      <w:r>
        <w:rPr>
          <w:rFonts w:ascii="仿宋" w:hAnsi="仿宋" w:cs="仿宋" w:eastAsia="仿宋"/>
          <w:sz w:val="28"/>
          <w:szCs w:val="28"/>
        </w:rPr>
        <w:t>第四条  商业汇票转贴现系指金融机构为了取得资金，将未到期的已贴现商业汇票再以贴现方式向另一金融机构转让的票据行为，是金融机构间融通资金的一种方式。是本行以商业汇票为工具，因短期资金融通的需求，与其他商业银行或非银行金融机构以协议转让的方式进行的交易行为。</w:t>
      </w:r>
    </w:p>
    <w:p>
      <w:pPr>
        <w:pStyle w:val="Normal"/>
        <w:spacing w:lineRule="auto" w:line="360"/>
        <w:ind w:firstLine="537" w:right="0"/>
        <w:rPr/>
      </w:pPr>
      <w:r>
        <w:rPr>
          <w:rFonts w:ascii="仿宋" w:hAnsi="仿宋" w:cs="仿宋" w:eastAsia="仿宋"/>
          <w:sz w:val="28"/>
          <w:szCs w:val="28"/>
        </w:rPr>
        <w:t>第五条 本行开办的转贴现业务包括买断和回购</w:t>
      </w:r>
      <w:r>
        <w:rPr>
          <w:rFonts w:eastAsia="仿宋" w:cs="仿宋" w:ascii="仿宋" w:hAnsi="仿宋"/>
          <w:sz w:val="28"/>
          <w:szCs w:val="28"/>
        </w:rPr>
        <w:t>(</w:t>
      </w:r>
      <w:r>
        <w:rPr>
          <w:rFonts w:ascii="仿宋" w:hAnsi="仿宋" w:cs="仿宋" w:eastAsia="仿宋"/>
          <w:sz w:val="28"/>
          <w:szCs w:val="28"/>
        </w:rPr>
        <w:t>暂不办理）两种方式。采用买断方式，票据到期由持票行办理委托收款，采用回购方式的，回购期满后，由持票行返售给转贴现行，票据到期后由转贴现申请行负责委托收款。</w:t>
      </w:r>
    </w:p>
    <w:p>
      <w:pPr>
        <w:pStyle w:val="Normal"/>
        <w:spacing w:lineRule="auto" w:line="360"/>
        <w:ind w:firstLine="537" w:right="0"/>
        <w:rPr/>
      </w:pPr>
      <w:r>
        <w:rPr>
          <w:rFonts w:ascii="仿宋" w:hAnsi="仿宋" w:cs="仿宋" w:eastAsia="仿宋"/>
          <w:sz w:val="28"/>
          <w:szCs w:val="28"/>
        </w:rPr>
        <w:t>第六条 转贴现业务期限最长不超过</w:t>
      </w:r>
      <w:r>
        <w:rPr>
          <w:rFonts w:eastAsia="仿宋" w:cs="仿宋" w:ascii="仿宋" w:hAnsi="仿宋"/>
          <w:sz w:val="28"/>
          <w:szCs w:val="28"/>
        </w:rPr>
        <w:t>6</w:t>
      </w:r>
      <w:r>
        <w:rPr>
          <w:rFonts w:ascii="仿宋" w:hAnsi="仿宋" w:cs="仿宋" w:eastAsia="仿宋"/>
          <w:sz w:val="28"/>
          <w:szCs w:val="28"/>
        </w:rPr>
        <w:t>个月，电子票据转贴现期限不超过一年，利率由交易双方自主协商确定。</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第七条  本行票据转贴现业务由金融市场部负责组织实施，所涉及的资金清算，票据代管，到期办理委托收款等业务由运营管理部下属清算中心组织实施。</w:t>
      </w:r>
    </w:p>
    <w:p>
      <w:pPr>
        <w:pStyle w:val="Normal"/>
        <w:spacing w:lineRule="auto" w:line="360" w:before="156" w:after="0"/>
        <w:ind w:firstLine="200" w:right="0"/>
        <w:jc w:val="center"/>
        <w:rPr>
          <w:rFonts w:ascii="仿宋" w:hAnsi="仿宋" w:eastAsia="仿宋" w:cs="仿宋"/>
          <w:b/>
          <w:sz w:val="28"/>
          <w:szCs w:val="28"/>
        </w:rPr>
      </w:pPr>
      <w:r>
        <w:rPr>
          <w:rFonts w:ascii="仿宋" w:hAnsi="仿宋" w:cs="仿宋" w:eastAsia="仿宋"/>
          <w:b/>
          <w:sz w:val="28"/>
          <w:szCs w:val="28"/>
        </w:rPr>
        <w:t>第二章  岗位设置</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第八条  金融市场部设立专门的票据交易岗和复核岗，清算中心设立票据审核岗，结算岗和票据保管岗。各岗位相互制约，换人复核。</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第九条  交易岗主要负责市场上信息的收集，票据交易对手的寻找，与对手方达成交易意向后，经复核员复核，依授权规定审批后，与交易对手签订正式转贴现合同。</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第十条  复核员负责对交易员所有的交易环节进行复核，对交易的询价议价，审批报告流程以及交易要素进行复核。</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第十一条  审票员负责对票据的现场审票，对不符合转贴现要求的不予办理，负责按照清单核对实收、实付票据。</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第十二条  保管员负责按照转贴现协议票据清单，保管转贴现票据及跟单资料，并对全部票据进行台账登记。</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第十三条 结算员负责按照贴现凭证，划款通知及时准确的划款或收妥资金。</w:t>
      </w:r>
    </w:p>
    <w:p>
      <w:pPr>
        <w:pStyle w:val="Normal"/>
        <w:spacing w:lineRule="auto" w:line="360" w:before="156" w:after="0"/>
        <w:ind w:firstLine="200" w:right="0"/>
        <w:jc w:val="center"/>
        <w:rPr>
          <w:rFonts w:ascii="仿宋" w:hAnsi="仿宋" w:eastAsia="仿宋" w:cs="仿宋"/>
          <w:b/>
          <w:sz w:val="28"/>
          <w:szCs w:val="28"/>
        </w:rPr>
      </w:pPr>
      <w:r>
        <w:rPr>
          <w:rFonts w:ascii="仿宋" w:hAnsi="仿宋" w:cs="仿宋" w:eastAsia="仿宋"/>
          <w:b/>
          <w:sz w:val="28"/>
          <w:szCs w:val="28"/>
        </w:rPr>
        <w:t>第三章  风险控制</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第十四条  票据转贴现必须严格设定授权审批权限，具体为：交易员根据交易对手提供的相关资料填列转贴现业务审请书，提交部门风险经理审核，部门负责人审批同意后，报本行授信管理部审核，提交本行信贷审查委员会审议决定，业务办理严格岗位分工协作，做到授权制度化，业务流程规范化。</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第十五条  金融机构向本行申请办理转贴现业务必须提供以下材料：</w:t>
      </w:r>
    </w:p>
    <w:p>
      <w:pPr>
        <w:pStyle w:val="Normal"/>
        <w:numPr>
          <w:ilvl w:val="0"/>
          <w:numId w:val="2"/>
        </w:numPr>
        <w:spacing w:lineRule="auto" w:line="360"/>
        <w:ind w:firstLine="200" w:left="897" w:right="0"/>
        <w:rPr>
          <w:rFonts w:ascii="仿宋" w:hAnsi="仿宋" w:eastAsia="仿宋" w:cs="仿宋"/>
          <w:sz w:val="28"/>
          <w:szCs w:val="28"/>
        </w:rPr>
      </w:pPr>
      <w:r>
        <w:rPr>
          <w:rFonts w:ascii="仿宋" w:hAnsi="仿宋" w:cs="仿宋" w:eastAsia="仿宋"/>
          <w:sz w:val="28"/>
          <w:szCs w:val="28"/>
        </w:rPr>
        <w:t>营业执照（正、副本）复印件</w:t>
      </w:r>
    </w:p>
    <w:p>
      <w:pPr>
        <w:pStyle w:val="Normal"/>
        <w:numPr>
          <w:ilvl w:val="0"/>
          <w:numId w:val="2"/>
        </w:numPr>
        <w:spacing w:lineRule="auto" w:line="360"/>
        <w:ind w:firstLine="200" w:left="897" w:right="0"/>
        <w:rPr>
          <w:rFonts w:ascii="仿宋" w:hAnsi="仿宋" w:eastAsia="仿宋" w:cs="仿宋"/>
          <w:sz w:val="28"/>
          <w:szCs w:val="28"/>
        </w:rPr>
      </w:pPr>
      <w:r>
        <w:rPr>
          <w:rFonts w:ascii="仿宋" w:hAnsi="仿宋" w:cs="仿宋" w:eastAsia="仿宋"/>
          <w:sz w:val="28"/>
          <w:szCs w:val="28"/>
        </w:rPr>
        <w:t>组织机构代码证（正、副本）</w:t>
      </w:r>
    </w:p>
    <w:p>
      <w:pPr>
        <w:pStyle w:val="Normal"/>
        <w:numPr>
          <w:ilvl w:val="0"/>
          <w:numId w:val="2"/>
        </w:numPr>
        <w:spacing w:lineRule="auto" w:line="360"/>
        <w:ind w:firstLine="200" w:left="897" w:right="0"/>
        <w:rPr>
          <w:rFonts w:ascii="仿宋" w:hAnsi="仿宋" w:eastAsia="仿宋" w:cs="仿宋"/>
          <w:sz w:val="28"/>
          <w:szCs w:val="28"/>
        </w:rPr>
      </w:pPr>
      <w:r>
        <w:rPr>
          <w:rFonts w:ascii="仿宋" w:hAnsi="仿宋" w:cs="仿宋" w:eastAsia="仿宋"/>
          <w:sz w:val="28"/>
          <w:szCs w:val="28"/>
        </w:rPr>
        <w:t>税务登记证（正、副本）</w:t>
      </w:r>
    </w:p>
    <w:p>
      <w:pPr>
        <w:pStyle w:val="Normal"/>
        <w:numPr>
          <w:ilvl w:val="0"/>
          <w:numId w:val="2"/>
        </w:numPr>
        <w:spacing w:lineRule="auto" w:line="360"/>
        <w:ind w:firstLine="200" w:left="897" w:right="0"/>
        <w:rPr>
          <w:rFonts w:ascii="仿宋" w:hAnsi="仿宋" w:eastAsia="仿宋" w:cs="仿宋"/>
          <w:sz w:val="28"/>
          <w:szCs w:val="28"/>
        </w:rPr>
      </w:pPr>
      <w:r>
        <w:rPr>
          <w:rFonts w:ascii="仿宋" w:hAnsi="仿宋" w:cs="仿宋" w:eastAsia="仿宋"/>
          <w:sz w:val="28"/>
          <w:szCs w:val="28"/>
        </w:rPr>
        <w:t>金融许可证复印件</w:t>
      </w:r>
    </w:p>
    <w:p>
      <w:pPr>
        <w:pStyle w:val="Normal"/>
        <w:numPr>
          <w:ilvl w:val="0"/>
          <w:numId w:val="2"/>
        </w:numPr>
        <w:spacing w:lineRule="auto" w:line="360"/>
        <w:ind w:firstLine="200" w:left="897" w:right="0"/>
        <w:rPr>
          <w:rFonts w:ascii="仿宋" w:hAnsi="仿宋" w:eastAsia="仿宋" w:cs="仿宋"/>
          <w:sz w:val="28"/>
          <w:szCs w:val="28"/>
        </w:rPr>
      </w:pPr>
      <w:r>
        <w:rPr>
          <w:rFonts w:ascii="仿宋" w:hAnsi="仿宋" w:cs="仿宋" w:eastAsia="仿宋"/>
          <w:sz w:val="28"/>
          <w:szCs w:val="28"/>
        </w:rPr>
        <w:t>开户许可证复印件</w:t>
      </w:r>
    </w:p>
    <w:p>
      <w:pPr>
        <w:pStyle w:val="Normal"/>
        <w:numPr>
          <w:ilvl w:val="0"/>
          <w:numId w:val="2"/>
        </w:numPr>
        <w:spacing w:lineRule="auto" w:line="360"/>
        <w:ind w:firstLine="200" w:left="897" w:right="0"/>
        <w:rPr>
          <w:rFonts w:ascii="仿宋" w:hAnsi="仿宋" w:eastAsia="仿宋" w:cs="仿宋"/>
          <w:sz w:val="28"/>
          <w:szCs w:val="28"/>
        </w:rPr>
      </w:pPr>
      <w:r>
        <w:rPr>
          <w:rFonts w:ascii="仿宋" w:hAnsi="仿宋" w:cs="仿宋" w:eastAsia="仿宋"/>
          <w:sz w:val="28"/>
          <w:szCs w:val="28"/>
        </w:rPr>
        <w:t>法人代表身份证复印件以及授权委托书</w:t>
      </w:r>
    </w:p>
    <w:p>
      <w:pPr>
        <w:pStyle w:val="Normal"/>
        <w:spacing w:lineRule="auto" w:line="360"/>
        <w:ind w:firstLine="200" w:left="897" w:right="0"/>
        <w:rPr>
          <w:rFonts w:ascii="仿宋" w:hAnsi="仿宋" w:eastAsia="仿宋" w:cs="仿宋"/>
          <w:sz w:val="28"/>
          <w:szCs w:val="28"/>
        </w:rPr>
      </w:pPr>
      <w:r>
        <w:rPr>
          <w:rFonts w:ascii="仿宋" w:hAnsi="仿宋" w:cs="仿宋" w:eastAsia="仿宋"/>
          <w:sz w:val="28"/>
          <w:szCs w:val="28"/>
        </w:rPr>
        <w:t>以上复印件上需加盖申请人公章。</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第十六条  本行开办票据转贴现业务应根据本行的资金状况、融资能力、信贷投放节奏和资产负债比例管理要求等因素，谨慎规范进行业务的开展。</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第十七条  票据交易必须坚持双人复核原则，至少两人参与票据交易的全过程。</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第十八条 交易的票据为电子商业汇票时，申请金融机构的交易员需通过电子商业汇票系统发起电子商业汇票转贴现申请，交易员需密切关注资金的到账和票据的状态。</w:t>
      </w:r>
    </w:p>
    <w:p>
      <w:pPr>
        <w:pStyle w:val="Normal"/>
        <w:spacing w:lineRule="auto" w:line="360" w:before="156" w:after="0"/>
        <w:ind w:firstLine="200" w:right="0"/>
        <w:jc w:val="center"/>
        <w:rPr>
          <w:rFonts w:ascii="仿宋" w:hAnsi="仿宋" w:eastAsia="仿宋" w:cs="仿宋"/>
          <w:b/>
          <w:sz w:val="28"/>
          <w:szCs w:val="28"/>
        </w:rPr>
      </w:pPr>
      <w:r>
        <w:rPr>
          <w:rFonts w:ascii="仿宋" w:hAnsi="仿宋" w:cs="仿宋" w:eastAsia="仿宋"/>
          <w:b/>
          <w:sz w:val="28"/>
          <w:szCs w:val="28"/>
        </w:rPr>
        <w:t>第四章  业务的处理</w:t>
      </w:r>
    </w:p>
    <w:p>
      <w:pPr>
        <w:pStyle w:val="Normal"/>
        <w:spacing w:lineRule="auto" w:line="360"/>
        <w:ind w:firstLine="537" w:right="0"/>
        <w:rPr/>
      </w:pPr>
      <w:r>
        <w:rPr>
          <w:rFonts w:ascii="仿宋" w:hAnsi="仿宋" w:cs="仿宋" w:eastAsia="仿宋"/>
          <w:sz w:val="28"/>
          <w:szCs w:val="28"/>
        </w:rPr>
        <w:t>第十九条  交易员通过市场寻找到合适的交易对手后，复核员复核，具体交易权限为：部门风险经理审核，部门负责人审批，报分管行长审批后提交授信管理部审核，报本行信贷审查委员会审议决策。金融市场部在发生转贴现业务时需严格授信范围，逐级审批。</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第二十条  进行转贴现业务，应签订书面合同，合同中应载明交易日期，若为回购还需注明到期交易日期，交易方向，票据份数及金额、交易价格或转贴现利率，实际划款金额，账户与结算方式，转出方的票据责任等要素，合同应包括转贴现协议及票据清单，清单应详细列明票据号码，承兑银行，金额，出票日，到期日，剩余天数、应计贴现利息、实际应划款金额等。</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第二十一条  票据转贴现业务应严格审查转贴现票据，重点审核票据的要素是否齐全（承兑行章印是否齐备）、背书是否清晰、是否涂改、是否连续、转贴现申请人是否签章等。</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第二十二条  转贴现申请人应填制贴现凭证，凭证上应列明汇票金额、贴现利率、贴现利息以及实付贴现金额等要素并加盖转贴现申请人印鉴，转贴现申请行审核后，将实付贴现金额划入申请人指定账户。</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第二十三条 交易员、审票员在外地进行票据交易时，应将票据进行打包、封装后双人在封签上签字。返回后将相关资料交结算员和保管员，并严格交接手续，做好核对工作。</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第二十四条 本行作为转贴现卖出行时，交易员需填列转贴现票据出库审批表，由交易员签字确认，部门负责人同意后方可从保管员处提取票据。未被最终交易的票据，退回保管员处，保管员销记台账。</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第二十五条 交易员、审票员在携票往返途中出现的任何意外事件应及时向领导反映，原则上不得携票过夜，确因路途原因无法当日返回时，应将收妥后的票据封装并交交易对手入库保管或次日交割票据。</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第二十六条 转贴现购入的票据到期前，清算中心应及时发出委托收款。</w:t>
      </w:r>
    </w:p>
    <w:p>
      <w:pPr>
        <w:pStyle w:val="Normal"/>
        <w:spacing w:lineRule="auto" w:line="360" w:before="156" w:after="0"/>
        <w:ind w:firstLine="200" w:right="0"/>
        <w:jc w:val="center"/>
        <w:rPr>
          <w:rFonts w:ascii="仿宋" w:hAnsi="仿宋" w:eastAsia="仿宋" w:cs="仿宋"/>
          <w:b/>
          <w:sz w:val="28"/>
          <w:szCs w:val="28"/>
        </w:rPr>
      </w:pPr>
      <w:r>
        <w:rPr>
          <w:rFonts w:ascii="仿宋" w:hAnsi="仿宋" w:cs="仿宋" w:eastAsia="仿宋"/>
          <w:b/>
          <w:sz w:val="28"/>
          <w:szCs w:val="28"/>
        </w:rPr>
        <w:t>第五章  稽核与监督</w:t>
      </w:r>
    </w:p>
    <w:p>
      <w:pPr>
        <w:pStyle w:val="Normal"/>
        <w:spacing w:lineRule="auto" w:line="360" w:before="156" w:after="0"/>
        <w:ind w:firstLine="537" w:right="0"/>
        <w:rPr>
          <w:rFonts w:ascii="仿宋" w:hAnsi="仿宋" w:eastAsia="仿宋" w:cs="仿宋"/>
          <w:sz w:val="28"/>
          <w:szCs w:val="28"/>
        </w:rPr>
      </w:pPr>
      <w:r>
        <w:rPr>
          <w:rFonts w:ascii="仿宋" w:hAnsi="仿宋" w:cs="仿宋" w:eastAsia="仿宋"/>
          <w:sz w:val="28"/>
          <w:szCs w:val="28"/>
        </w:rPr>
        <w:t>第二十七条 本行审计稽核部负责对金融市场部的票据交易业务以及清算中心的台账及账务处理进行检查，内容包括：</w:t>
      </w:r>
    </w:p>
    <w:p>
      <w:pPr>
        <w:pStyle w:val="Normal"/>
        <w:numPr>
          <w:ilvl w:val="0"/>
          <w:numId w:val="4"/>
        </w:numPr>
        <w:spacing w:lineRule="auto" w:line="360" w:before="156" w:after="0"/>
        <w:ind w:firstLine="200" w:left="897" w:right="0"/>
        <w:rPr>
          <w:rFonts w:ascii="仿宋" w:hAnsi="仿宋" w:eastAsia="仿宋" w:cs="仿宋"/>
          <w:sz w:val="28"/>
          <w:szCs w:val="28"/>
        </w:rPr>
      </w:pPr>
      <w:r>
        <w:rPr>
          <w:rFonts w:ascii="仿宋" w:hAnsi="仿宋" w:cs="仿宋" w:eastAsia="仿宋"/>
          <w:sz w:val="28"/>
          <w:szCs w:val="28"/>
        </w:rPr>
        <w:t>交易方式、期限、对象是否符合人民银行的有关规定。</w:t>
      </w:r>
    </w:p>
    <w:p>
      <w:pPr>
        <w:pStyle w:val="Normal"/>
        <w:numPr>
          <w:ilvl w:val="0"/>
          <w:numId w:val="4"/>
        </w:numPr>
        <w:spacing w:lineRule="auto" w:line="360" w:before="156" w:after="0"/>
        <w:ind w:firstLine="200" w:left="897" w:right="0"/>
        <w:rPr>
          <w:rFonts w:ascii="仿宋" w:hAnsi="仿宋" w:eastAsia="仿宋" w:cs="仿宋"/>
          <w:b/>
          <w:sz w:val="28"/>
          <w:szCs w:val="28"/>
        </w:rPr>
      </w:pPr>
      <w:r>
        <w:rPr>
          <w:rFonts w:ascii="仿宋" w:hAnsi="仿宋" w:cs="仿宋" w:eastAsia="仿宋"/>
          <w:sz w:val="28"/>
          <w:szCs w:val="28"/>
        </w:rPr>
        <w:t>操作程序和审批程序是否严格执行本办法的规定。</w:t>
      </w:r>
    </w:p>
    <w:p>
      <w:pPr>
        <w:pStyle w:val="Normal"/>
        <w:numPr>
          <w:ilvl w:val="0"/>
          <w:numId w:val="4"/>
        </w:numPr>
        <w:spacing w:lineRule="auto" w:line="360" w:before="156" w:after="0"/>
        <w:ind w:firstLine="200" w:left="897" w:right="0"/>
        <w:rPr>
          <w:rFonts w:ascii="仿宋" w:hAnsi="仿宋" w:eastAsia="仿宋" w:cs="仿宋"/>
          <w:b/>
          <w:sz w:val="28"/>
          <w:szCs w:val="28"/>
        </w:rPr>
      </w:pPr>
      <w:r>
        <w:rPr>
          <w:rFonts w:ascii="仿宋" w:hAnsi="仿宋" w:cs="仿宋" w:eastAsia="仿宋"/>
          <w:sz w:val="28"/>
          <w:szCs w:val="28"/>
        </w:rPr>
        <w:t>转贴现协议、票据清单、贴现凭证、授权审批手续是否齐备。</w:t>
      </w:r>
    </w:p>
    <w:p>
      <w:pPr>
        <w:pStyle w:val="Normal"/>
        <w:spacing w:lineRule="auto" w:line="360" w:before="156" w:after="0"/>
        <w:ind w:firstLine="200" w:right="0"/>
        <w:jc w:val="center"/>
        <w:rPr>
          <w:rFonts w:ascii="仿宋" w:hAnsi="仿宋" w:eastAsia="仿宋" w:cs="仿宋"/>
          <w:b/>
          <w:sz w:val="28"/>
          <w:szCs w:val="28"/>
        </w:rPr>
      </w:pPr>
      <w:r>
        <w:rPr>
          <w:rFonts w:ascii="仿宋" w:hAnsi="仿宋" w:cs="仿宋" w:eastAsia="仿宋"/>
          <w:b/>
          <w:sz w:val="28"/>
          <w:szCs w:val="28"/>
        </w:rPr>
        <w:t>第六章   罚则</w:t>
      </w:r>
    </w:p>
    <w:p>
      <w:pPr>
        <w:pStyle w:val="Normal"/>
        <w:spacing w:lineRule="auto" w:line="360" w:before="156" w:after="0"/>
        <w:ind w:firstLine="200" w:right="0"/>
        <w:rPr>
          <w:rFonts w:ascii="仿宋" w:hAnsi="仿宋" w:eastAsia="仿宋" w:cs="仿宋"/>
          <w:sz w:val="28"/>
          <w:szCs w:val="28"/>
        </w:rPr>
      </w:pPr>
      <w:r>
        <w:rPr>
          <w:rFonts w:ascii="仿宋" w:hAnsi="仿宋" w:cs="仿宋" w:eastAsia="仿宋"/>
          <w:sz w:val="28"/>
          <w:szCs w:val="28"/>
        </w:rPr>
        <w:t>第二十八条 交易人员应严格按照本办法及商业银行票据法的规定进行票据的交易，如有违规，应按有关办法进行处罚。</w:t>
      </w:r>
    </w:p>
    <w:p>
      <w:pPr>
        <w:pStyle w:val="Normal"/>
        <w:spacing w:lineRule="auto" w:line="360" w:before="156" w:after="0"/>
        <w:ind w:firstLine="200" w:right="0"/>
        <w:rPr>
          <w:rFonts w:ascii="仿宋" w:hAnsi="仿宋" w:eastAsia="仿宋" w:cs="仿宋"/>
          <w:sz w:val="28"/>
          <w:szCs w:val="28"/>
        </w:rPr>
      </w:pPr>
      <w:r>
        <w:rPr>
          <w:rFonts w:ascii="仿宋" w:hAnsi="仿宋" w:cs="仿宋" w:eastAsia="仿宋"/>
          <w:sz w:val="28"/>
          <w:szCs w:val="28"/>
        </w:rPr>
        <w:t>第二十九条 本办法认定的违规行为有：</w:t>
      </w:r>
    </w:p>
    <w:p>
      <w:pPr>
        <w:pStyle w:val="Normal"/>
        <w:numPr>
          <w:ilvl w:val="0"/>
          <w:numId w:val="3"/>
        </w:numPr>
        <w:spacing w:lineRule="auto" w:line="360" w:before="156" w:after="0"/>
        <w:ind w:hanging="566" w:left="1275" w:right="0"/>
        <w:rPr>
          <w:rFonts w:ascii="仿宋" w:hAnsi="仿宋" w:eastAsia="仿宋" w:cs="仿宋"/>
          <w:sz w:val="28"/>
          <w:szCs w:val="28"/>
        </w:rPr>
      </w:pPr>
      <w:r>
        <w:rPr>
          <w:rFonts w:ascii="仿宋" w:hAnsi="仿宋" w:cs="仿宋" w:eastAsia="仿宋"/>
          <w:sz w:val="28"/>
          <w:szCs w:val="28"/>
        </w:rPr>
        <w:t>违反业务授权规定，超出自身岗位权限，未经批准办理转贴现业务的行为。</w:t>
      </w:r>
    </w:p>
    <w:p>
      <w:pPr>
        <w:pStyle w:val="Normal"/>
        <w:numPr>
          <w:ilvl w:val="0"/>
          <w:numId w:val="3"/>
        </w:numPr>
        <w:spacing w:lineRule="auto" w:line="360" w:before="156" w:after="0"/>
        <w:ind w:hanging="566" w:left="1275" w:right="0"/>
        <w:rPr>
          <w:rFonts w:ascii="仿宋" w:hAnsi="仿宋" w:eastAsia="仿宋" w:cs="仿宋"/>
          <w:sz w:val="28"/>
          <w:szCs w:val="28"/>
        </w:rPr>
      </w:pPr>
      <w:r>
        <w:rPr>
          <w:rFonts w:ascii="仿宋" w:hAnsi="仿宋" w:cs="仿宋" w:eastAsia="仿宋"/>
          <w:sz w:val="28"/>
          <w:szCs w:val="28"/>
        </w:rPr>
        <w:t>违反业务操作流程，逆程序经办的业务行为。</w:t>
      </w:r>
    </w:p>
    <w:p>
      <w:pPr>
        <w:pStyle w:val="Normal"/>
        <w:numPr>
          <w:ilvl w:val="0"/>
          <w:numId w:val="3"/>
        </w:numPr>
        <w:spacing w:lineRule="auto" w:line="360" w:before="156" w:after="0"/>
        <w:ind w:hanging="566" w:left="1275" w:right="0"/>
        <w:rPr>
          <w:rFonts w:ascii="仿宋" w:hAnsi="仿宋" w:eastAsia="仿宋" w:cs="仿宋"/>
          <w:sz w:val="28"/>
          <w:szCs w:val="28"/>
        </w:rPr>
      </w:pPr>
      <w:r>
        <w:rPr>
          <w:rFonts w:ascii="仿宋" w:hAnsi="仿宋" w:cs="仿宋" w:eastAsia="仿宋"/>
          <w:sz w:val="28"/>
          <w:szCs w:val="28"/>
        </w:rPr>
        <w:t>因疏于票据查验、保管、操作差错等造成损失的行为。</w:t>
      </w:r>
    </w:p>
    <w:p>
      <w:pPr>
        <w:pStyle w:val="Normal"/>
        <w:spacing w:lineRule="auto" w:line="360" w:before="156" w:after="0"/>
        <w:ind w:firstLine="539" w:left="1275" w:right="0"/>
        <w:jc w:val="center"/>
        <w:rPr/>
      </w:pPr>
      <w:r>
        <w:rPr>
          <w:rFonts w:ascii="仿宋" w:hAnsi="仿宋" w:cs="仿宋" w:eastAsia="仿宋"/>
          <w:b/>
          <w:sz w:val="28"/>
          <w:szCs w:val="28"/>
        </w:rPr>
        <w:t>第七章   附则</w:t>
      </w:r>
    </w:p>
    <w:p>
      <w:pPr>
        <w:pStyle w:val="Normal"/>
        <w:spacing w:lineRule="auto" w:line="360" w:before="156" w:after="0"/>
        <w:ind w:firstLine="537" w:right="0"/>
        <w:rPr>
          <w:rFonts w:ascii="仿宋" w:hAnsi="仿宋" w:eastAsia="仿宋" w:cs="仿宋"/>
          <w:sz w:val="28"/>
          <w:szCs w:val="28"/>
        </w:rPr>
      </w:pPr>
      <w:r>
        <w:rPr>
          <w:rFonts w:ascii="仿宋" w:hAnsi="仿宋" w:cs="仿宋" w:eastAsia="仿宋"/>
          <w:sz w:val="28"/>
          <w:szCs w:val="28"/>
        </w:rPr>
        <w:t>第三十条  本办法由</w:t>
      </w:r>
      <w:r>
        <w:rPr>
          <w:rFonts w:eastAsia="仿宋" w:cs="仿宋" w:ascii="仿宋" w:hAnsi="仿宋"/>
          <w:sz w:val="28"/>
          <w:szCs w:val="28"/>
        </w:rPr>
        <w:t>××××</w:t>
      </w:r>
      <w:r>
        <w:rPr>
          <w:rFonts w:ascii="仿宋" w:hAnsi="仿宋" w:cs="仿宋" w:eastAsia="仿宋"/>
          <w:sz w:val="28"/>
          <w:szCs w:val="28"/>
        </w:rPr>
        <w:t>银行股份有限公司金融市场部负责解释和修订。</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第三十一条  本办法自公布之日起执行。</w:t>
      </w:r>
    </w:p>
    <w:sectPr>
      <w:type w:val="nextPage"/>
      <w:pgSz w:w="11906" w:h="16838"/>
      <w:pgMar w:left="1800" w:right="1800" w:gutter="0" w:header="0" w:top="1440" w:footer="0" w:bottom="1440"/>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variable"/>
  </w:font>
  <w:font w:name="宋体">
    <w:altName w:val="SimSun"/>
    <w:charset w:val="86"/>
    <w:family w:val="auto"/>
    <w:pitch w:val="variable"/>
  </w:font>
  <w:font w:name="方正楷体简体">
    <w:charset w:val="86"/>
    <w:family w:val="script"/>
    <w:pitch w:val="default"/>
  </w:font>
  <w:font w:name="Liberation Sans">
    <w:altName w:val="Arial"/>
    <w:charset w:val="01"/>
    <w:family w:val="swiss"/>
    <w:pitch w:val="variable"/>
  </w:font>
  <w:font w:name="仿宋_GB2312">
    <w:altName w:val="仿宋"/>
    <w:charset w:val="86"/>
    <w:family w:val="modern"/>
    <w:pitch w:val="default"/>
  </w:font>
  <w:font w:name="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20"/>
        </w:tabs>
        <w:ind w:left="897" w:hanging="360"/>
      </w:pPr>
      <w:rPr/>
    </w:lvl>
    <w:lvl w:ilvl="1">
      <w:start w:val="1"/>
      <w:numFmt w:val="lowerLetter"/>
      <w:lvlText w:val="%2)"/>
      <w:lvlJc w:val="left"/>
      <w:pPr>
        <w:tabs>
          <w:tab w:val="num" w:pos="0"/>
        </w:tabs>
        <w:ind w:left="1377" w:hanging="420"/>
      </w:pPr>
    </w:lvl>
    <w:lvl w:ilvl="2">
      <w:start w:val="1"/>
      <w:numFmt w:val="lowerRoman"/>
      <w:lvlText w:val="%3."/>
      <w:lvlJc w:val="right"/>
      <w:pPr>
        <w:tabs>
          <w:tab w:val="num" w:pos="0"/>
        </w:tabs>
        <w:ind w:left="1797" w:hanging="420"/>
      </w:pPr>
    </w:lvl>
    <w:lvl w:ilvl="3">
      <w:start w:val="1"/>
      <w:numFmt w:val="decimal"/>
      <w:lvlText w:val="%4."/>
      <w:lvlJc w:val="left"/>
      <w:pPr>
        <w:tabs>
          <w:tab w:val="num" w:pos="0"/>
        </w:tabs>
        <w:ind w:left="2217" w:hanging="420"/>
      </w:pPr>
    </w:lvl>
    <w:lvl w:ilvl="4">
      <w:start w:val="1"/>
      <w:numFmt w:val="lowerLetter"/>
      <w:lvlText w:val="%5)"/>
      <w:lvlJc w:val="left"/>
      <w:pPr>
        <w:tabs>
          <w:tab w:val="num" w:pos="0"/>
        </w:tabs>
        <w:ind w:left="2637" w:hanging="420"/>
      </w:pPr>
    </w:lvl>
    <w:lvl w:ilvl="5">
      <w:start w:val="1"/>
      <w:numFmt w:val="lowerRoman"/>
      <w:lvlText w:val="%6."/>
      <w:lvlJc w:val="right"/>
      <w:pPr>
        <w:tabs>
          <w:tab w:val="num" w:pos="0"/>
        </w:tabs>
        <w:ind w:left="3057" w:hanging="420"/>
      </w:pPr>
    </w:lvl>
    <w:lvl w:ilvl="6">
      <w:start w:val="1"/>
      <w:numFmt w:val="decimal"/>
      <w:lvlText w:val="%7."/>
      <w:lvlJc w:val="left"/>
      <w:pPr>
        <w:tabs>
          <w:tab w:val="num" w:pos="0"/>
        </w:tabs>
        <w:ind w:left="3477" w:hanging="420"/>
      </w:pPr>
    </w:lvl>
    <w:lvl w:ilvl="7">
      <w:start w:val="1"/>
      <w:numFmt w:val="lowerLetter"/>
      <w:lvlText w:val="%8)"/>
      <w:lvlJc w:val="left"/>
      <w:pPr>
        <w:tabs>
          <w:tab w:val="num" w:pos="0"/>
        </w:tabs>
        <w:ind w:left="3897" w:hanging="420"/>
      </w:pPr>
    </w:lvl>
    <w:lvl w:ilvl="8">
      <w:start w:val="1"/>
      <w:numFmt w:val="lowerRoman"/>
      <w:lvlText w:val="%9."/>
      <w:lvlJc w:val="right"/>
      <w:pPr>
        <w:tabs>
          <w:tab w:val="num" w:pos="0"/>
        </w:tabs>
        <w:ind w:left="4317" w:hanging="420"/>
      </w:pPr>
    </w:lvl>
  </w:abstractNum>
  <w:abstractNum w:abstractNumId="3">
    <w:lvl w:ilvl="0">
      <w:start w:val="1"/>
      <w:numFmt w:val="decimal"/>
      <w:lvlText w:val="%1."/>
      <w:lvlJc w:val="left"/>
      <w:pPr>
        <w:tabs>
          <w:tab w:val="num" w:pos="420"/>
        </w:tabs>
        <w:ind w:left="1275" w:hanging="735"/>
      </w:pPr>
      <w:rPr/>
    </w:lvl>
    <w:lvl w:ilvl="1">
      <w:start w:val="1"/>
      <w:numFmt w:val="lowerLetter"/>
      <w:lvlText w:val="%2)"/>
      <w:lvlJc w:val="left"/>
      <w:pPr>
        <w:tabs>
          <w:tab w:val="num" w:pos="0"/>
        </w:tabs>
        <w:ind w:left="1380" w:hanging="420"/>
      </w:pPr>
    </w:lvl>
    <w:lvl w:ilvl="2">
      <w:start w:val="1"/>
      <w:numFmt w:val="lowerRoman"/>
      <w:lvlText w:val="%3."/>
      <w:lvlJc w:val="right"/>
      <w:pPr>
        <w:tabs>
          <w:tab w:val="num" w:pos="0"/>
        </w:tabs>
        <w:ind w:left="1800" w:hanging="420"/>
      </w:pPr>
    </w:lvl>
    <w:lvl w:ilvl="3">
      <w:start w:val="1"/>
      <w:numFmt w:val="decimal"/>
      <w:lvlText w:val="%4."/>
      <w:lvlJc w:val="left"/>
      <w:pPr>
        <w:tabs>
          <w:tab w:val="num" w:pos="0"/>
        </w:tabs>
        <w:ind w:left="2220" w:hanging="420"/>
      </w:pPr>
    </w:lvl>
    <w:lvl w:ilvl="4">
      <w:start w:val="1"/>
      <w:numFmt w:val="lowerLetter"/>
      <w:lvlText w:val="%5)"/>
      <w:lvlJc w:val="left"/>
      <w:pPr>
        <w:tabs>
          <w:tab w:val="num" w:pos="0"/>
        </w:tabs>
        <w:ind w:left="2640" w:hanging="420"/>
      </w:pPr>
    </w:lvl>
    <w:lvl w:ilvl="5">
      <w:start w:val="1"/>
      <w:numFmt w:val="lowerRoman"/>
      <w:lvlText w:val="%6."/>
      <w:lvlJc w:val="right"/>
      <w:pPr>
        <w:tabs>
          <w:tab w:val="num" w:pos="0"/>
        </w:tabs>
        <w:ind w:left="3060" w:hanging="420"/>
      </w:pPr>
    </w:lvl>
    <w:lvl w:ilvl="6">
      <w:start w:val="1"/>
      <w:numFmt w:val="decimal"/>
      <w:lvlText w:val="%7."/>
      <w:lvlJc w:val="left"/>
      <w:pPr>
        <w:tabs>
          <w:tab w:val="num" w:pos="0"/>
        </w:tabs>
        <w:ind w:left="3480" w:hanging="420"/>
      </w:pPr>
    </w:lvl>
    <w:lvl w:ilvl="7">
      <w:start w:val="1"/>
      <w:numFmt w:val="lowerLetter"/>
      <w:lvlText w:val="%8)"/>
      <w:lvlJc w:val="left"/>
      <w:pPr>
        <w:tabs>
          <w:tab w:val="num" w:pos="0"/>
        </w:tabs>
        <w:ind w:left="3900" w:hanging="420"/>
      </w:pPr>
    </w:lvl>
    <w:lvl w:ilvl="8">
      <w:start w:val="1"/>
      <w:numFmt w:val="lowerRoman"/>
      <w:lvlText w:val="%9."/>
      <w:lvlJc w:val="right"/>
      <w:pPr>
        <w:tabs>
          <w:tab w:val="num" w:pos="0"/>
        </w:tabs>
        <w:ind w:left="4320" w:hanging="420"/>
      </w:pPr>
    </w:lvl>
  </w:abstractNum>
  <w:abstractNum w:abstractNumId="4">
    <w:lvl w:ilvl="0">
      <w:start w:val="1"/>
      <w:numFmt w:val="decimal"/>
      <w:lvlText w:val="%1."/>
      <w:lvlJc w:val="left"/>
      <w:pPr>
        <w:tabs>
          <w:tab w:val="num" w:pos="420"/>
        </w:tabs>
        <w:ind w:left="897" w:hanging="360"/>
      </w:pPr>
      <w:rPr/>
    </w:lvl>
    <w:lvl w:ilvl="1">
      <w:start w:val="1"/>
      <w:numFmt w:val="lowerLetter"/>
      <w:lvlText w:val="%2)"/>
      <w:lvlJc w:val="left"/>
      <w:pPr>
        <w:tabs>
          <w:tab w:val="num" w:pos="0"/>
        </w:tabs>
        <w:ind w:left="1377" w:hanging="420"/>
      </w:pPr>
    </w:lvl>
    <w:lvl w:ilvl="2">
      <w:start w:val="1"/>
      <w:numFmt w:val="lowerRoman"/>
      <w:lvlText w:val="%3."/>
      <w:lvlJc w:val="right"/>
      <w:pPr>
        <w:tabs>
          <w:tab w:val="num" w:pos="0"/>
        </w:tabs>
        <w:ind w:left="1797" w:hanging="420"/>
      </w:pPr>
    </w:lvl>
    <w:lvl w:ilvl="3">
      <w:start w:val="1"/>
      <w:numFmt w:val="decimal"/>
      <w:lvlText w:val="%4."/>
      <w:lvlJc w:val="left"/>
      <w:pPr>
        <w:tabs>
          <w:tab w:val="num" w:pos="0"/>
        </w:tabs>
        <w:ind w:left="2217" w:hanging="420"/>
      </w:pPr>
    </w:lvl>
    <w:lvl w:ilvl="4">
      <w:start w:val="1"/>
      <w:numFmt w:val="lowerLetter"/>
      <w:lvlText w:val="%5)"/>
      <w:lvlJc w:val="left"/>
      <w:pPr>
        <w:tabs>
          <w:tab w:val="num" w:pos="0"/>
        </w:tabs>
        <w:ind w:left="2637" w:hanging="420"/>
      </w:pPr>
    </w:lvl>
    <w:lvl w:ilvl="5">
      <w:start w:val="1"/>
      <w:numFmt w:val="lowerRoman"/>
      <w:lvlText w:val="%6."/>
      <w:lvlJc w:val="right"/>
      <w:pPr>
        <w:tabs>
          <w:tab w:val="num" w:pos="0"/>
        </w:tabs>
        <w:ind w:left="3057" w:hanging="420"/>
      </w:pPr>
    </w:lvl>
    <w:lvl w:ilvl="6">
      <w:start w:val="1"/>
      <w:numFmt w:val="decimal"/>
      <w:lvlText w:val="%7."/>
      <w:lvlJc w:val="left"/>
      <w:pPr>
        <w:tabs>
          <w:tab w:val="num" w:pos="0"/>
        </w:tabs>
        <w:ind w:left="3477" w:hanging="420"/>
      </w:pPr>
    </w:lvl>
    <w:lvl w:ilvl="7">
      <w:start w:val="1"/>
      <w:numFmt w:val="lowerLetter"/>
      <w:lvlText w:val="%8)"/>
      <w:lvlJc w:val="left"/>
      <w:pPr>
        <w:tabs>
          <w:tab w:val="num" w:pos="0"/>
        </w:tabs>
        <w:ind w:left="3897" w:hanging="420"/>
      </w:pPr>
    </w:lvl>
    <w:lvl w:ilvl="8">
      <w:start w:val="1"/>
      <w:numFmt w:val="lowerRoman"/>
      <w:lvlText w:val="%9."/>
      <w:lvlJc w:val="right"/>
      <w:pPr>
        <w:tabs>
          <w:tab w:val="num" w:pos="0"/>
        </w:tabs>
        <w:ind w:left="4317" w:hanging="42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cs="Calibri Light"/>
      <w:b/>
      <w:bCs/>
      <w:sz w:val="32"/>
      <w:szCs w:val="3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Style13">
    <w:name w:val="默认段落字体"/>
    <w:qFormat/>
    <w:rPr/>
  </w:style>
  <w:style w:type="character" w:styleId="EndnoteCharacters">
    <w:name w:val="Endnote Characters"/>
    <w:qFormat/>
    <w:rPr>
      <w:vertAlign w:val="superscript"/>
    </w:rPr>
  </w:style>
  <w:style w:type="character" w:styleId="PageNumber">
    <w:name w:val="Page Number"/>
    <w:basedOn w:val="Style13"/>
    <w:rPr/>
  </w:style>
  <w:style w:type="character" w:styleId="Style14">
    <w:name w:val="批注引用"/>
    <w:qFormat/>
    <w:rPr>
      <w:sz w:val="21"/>
      <w:szCs w:val="21"/>
    </w:rPr>
  </w:style>
  <w:style w:type="character" w:styleId="Char">
    <w:name w:val="批注主题 Char"/>
    <w:qFormat/>
    <w:rPr>
      <w:b/>
      <w:bCs/>
      <w:kern w:val="2"/>
      <w:sz w:val="21"/>
      <w:szCs w:val="24"/>
    </w:rPr>
  </w:style>
  <w:style w:type="character" w:styleId="Char1">
    <w:name w:val="纯文本 Char"/>
    <w:qFormat/>
    <w:rPr>
      <w:rFonts w:ascii="宋体;SimSun" w:hAnsi="宋体;SimSun" w:eastAsia="仿宋_GB2312;仿宋" w:cs="Courier New"/>
      <w:kern w:val="2"/>
      <w:sz w:val="32"/>
    </w:rPr>
  </w:style>
  <w:style w:type="character" w:styleId="2Char">
    <w:name w:val="标题 2 Char"/>
    <w:qFormat/>
    <w:rPr>
      <w:rFonts w:ascii="Calibri Light" w:hAnsi="Calibri Light" w:eastAsia="宋体;SimSun" w:cs="Times New Roman"/>
      <w:b/>
      <w:bCs/>
      <w:kern w:val="2"/>
      <w:sz w:val="32"/>
      <w:szCs w:val="32"/>
    </w:rPr>
  </w:style>
  <w:style w:type="character" w:styleId="Char2">
    <w:name w:val="批注框文本 Char"/>
    <w:qFormat/>
    <w:rPr>
      <w:kern w:val="2"/>
      <w:sz w:val="18"/>
      <w:szCs w:val="18"/>
    </w:rPr>
  </w:style>
  <w:style w:type="character" w:styleId="3Char">
    <w:name w:val="正文文本缩进 3 Char"/>
    <w:qFormat/>
    <w:rPr>
      <w:rFonts w:ascii="方正楷体简体" w:hAnsi="方正楷体简体" w:eastAsia="方正楷体简体" w:cs="宋体;SimSun"/>
      <w:kern w:val="2"/>
      <w:sz w:val="32"/>
    </w:rPr>
  </w:style>
  <w:style w:type="character" w:styleId="Char3">
    <w:name w:val="文档结构图 Char"/>
    <w:qFormat/>
    <w:rPr>
      <w:rFonts w:ascii="宋体;SimSun" w:hAnsi="宋体;SimSun"/>
      <w:kern w:val="2"/>
      <w:sz w:val="18"/>
      <w:szCs w:val="18"/>
    </w:rPr>
  </w:style>
  <w:style w:type="character" w:styleId="Char4">
    <w:name w:val="批注文字 Char"/>
    <w:qFormat/>
    <w:rPr>
      <w:kern w:val="2"/>
      <w:sz w:val="21"/>
      <w:szCs w:val="24"/>
    </w:rPr>
  </w:style>
  <w:style w:type="character" w:styleId="Char5">
    <w:name w:val="页脚 Char"/>
    <w:qFormat/>
    <w:rPr>
      <w:kern w:val="2"/>
      <w:sz w:val="18"/>
      <w:szCs w:val="18"/>
    </w:rPr>
  </w:style>
  <w:style w:type="character" w:styleId="Char6">
    <w:name w:val="尾注文本 Char"/>
    <w:qFormat/>
    <w:rPr>
      <w:kern w:val="2"/>
      <w:sz w:val="21"/>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left"/>
    </w:pPr>
    <w:rPr/>
  </w:style>
  <w:style w:type="paragraph" w:styleId="Style16">
    <w:name w:val="批注主题"/>
    <w:basedOn w:val="Style15"/>
    <w:next w:val="Style15"/>
    <w:qFormat/>
    <w:pPr/>
    <w:rPr>
      <w:b/>
      <w:bCs/>
    </w:rPr>
  </w:style>
  <w:style w:type="paragraph" w:styleId="Style17">
    <w:name w:val="文档结构图"/>
    <w:basedOn w:val="Normal"/>
    <w:qFormat/>
    <w:pPr/>
    <w:rPr>
      <w:rFonts w:ascii="宋体;SimSun" w:hAnsi="宋体;SimSun"/>
      <w:sz w:val="18"/>
      <w:szCs w:val="18"/>
    </w:rPr>
  </w:style>
  <w:style w:type="paragraph" w:styleId="Style18">
    <w:name w:val="纯文本"/>
    <w:basedOn w:val="Normal"/>
    <w:qFormat/>
    <w:pPr/>
    <w:rPr>
      <w:rFonts w:ascii="宋体;SimSun" w:hAnsi="宋体;SimSun" w:eastAsia="仿宋_GB2312;仿宋" w:cs="Courier New"/>
      <w:sz w:val="32"/>
      <w:szCs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9">
    <w:name w:val="批注框文本"/>
    <w:basedOn w:val="Normal"/>
    <w:qFormat/>
    <w:pPr/>
    <w:rPr>
      <w:sz w:val="18"/>
      <w:szCs w:val="18"/>
    </w:rPr>
  </w:style>
  <w:style w:type="paragraph" w:styleId="EndnoteText">
    <w:name w:val="Endnote Text"/>
    <w:basedOn w:val="Normal"/>
    <w:pPr>
      <w:snapToGrid w:val="false"/>
      <w:jc w:val="left"/>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3">
    <w:name w:val="正文文本缩进 3"/>
    <w:basedOn w:val="Normal"/>
    <w:qFormat/>
    <w:pPr>
      <w:spacing w:lineRule="atLeast" w:line="480" w:before="100" w:after="150"/>
      <w:ind w:firstLine="320" w:left="0" w:right="0"/>
    </w:pPr>
    <w:rPr>
      <w:rFonts w:ascii="方正楷体简体" w:hAnsi="方正楷体简体" w:eastAsia="方正楷体简体" w:cs="宋体;SimSun"/>
      <w:sz w:val="32"/>
      <w:szCs w:val="20"/>
    </w:rPr>
  </w:style>
  <w:style w:type="paragraph" w:styleId="Style20">
    <w:name w:val="修订"/>
    <w:qFormat/>
    <w:pPr>
      <w:widowControl/>
      <w:bidi w:val="0"/>
    </w:pPr>
    <w:rPr>
      <w:rFonts w:ascii="Times New Roman" w:hAnsi="Times New Roman" w:eastAsia="宋体;SimSun" w:cs="Times New Roman"/>
      <w:color w:val="auto"/>
      <w:kern w:val="2"/>
      <w:sz w:val="21"/>
      <w:szCs w:val="24"/>
      <w:lang w:val="en-US" w:eastAsia="zh-CN" w:bidi="ar-SA"/>
    </w:rPr>
  </w:style>
  <w:style w:type="paragraph" w:styleId="Style21">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华文中宋"/>
      <w:sz w:val="28"/>
      <w:szCs w:val="28"/>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2014-06-04T09:18:00Z</dcterms:created>
  <dc:creator>张明华</dc:creator>
  <dc:description/>
  <cp:keywords/>
  <dc:language>zh-CN</dc:language>
  <cp:lastModifiedBy>方 盈</cp:lastModifiedBy>
  <cp:lastPrinted>2014-06-04T16:35:00Z</cp:lastPrinted>
  <dcterms:modified xsi:type="dcterms:W3CDTF">2020-01-08T20:42:00Z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