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firstLine="539" w:right="0"/>
        <w:jc w:val="center"/>
        <w:rPr/>
      </w:pPr>
      <w:r>
        <w:rPr>
          <w:rFonts w:eastAsia="仿宋" w:cs="仿宋" w:ascii="仿宋" w:hAnsi="仿宋"/>
          <w:b/>
          <w:sz w:val="28"/>
          <w:szCs w:val="28"/>
        </w:rPr>
        <w:t>××××</w:t>
      </w:r>
      <w:r>
        <w:rPr>
          <w:rFonts w:ascii="仿宋" w:hAnsi="仿宋" w:cs="仿宋" w:eastAsia="仿宋"/>
          <w:b/>
          <w:sz w:val="28"/>
          <w:szCs w:val="28"/>
        </w:rPr>
        <w:t>银行股份有限公司</w:t>
      </w:r>
    </w:p>
    <w:p>
      <w:pPr>
        <w:pStyle w:val="Style19"/>
        <w:ind w:firstLine="539" w:right="0"/>
        <w:rPr>
          <w:rFonts w:ascii="仿宋" w:hAnsi="仿宋" w:eastAsia="仿宋" w:cs="仿宋"/>
        </w:rPr>
      </w:pPr>
      <w:r>
        <w:rPr>
          <w:rFonts w:ascii="仿宋" w:hAnsi="仿宋" w:cs="仿宋" w:eastAsia="仿宋"/>
        </w:rPr>
        <w:t>电子商业汇票贴现业务管理办法</w:t>
      </w:r>
    </w:p>
    <w:p>
      <w:pPr>
        <w:pStyle w:val="Normal"/>
        <w:spacing w:lineRule="auto" w:line="360" w:before="156" w:after="0"/>
        <w:jc w:val="center"/>
        <w:rPr>
          <w:rFonts w:ascii="仿宋" w:hAnsi="仿宋" w:eastAsia="仿宋" w:cs="仿宋"/>
          <w:b/>
          <w:sz w:val="28"/>
          <w:szCs w:val="28"/>
        </w:rPr>
      </w:pPr>
      <w:r>
        <w:rPr>
          <w:rFonts w:ascii="仿宋" w:hAnsi="仿宋" w:cs="仿宋" w:eastAsia="仿宋"/>
          <w:b/>
          <w:sz w:val="28"/>
          <w:szCs w:val="28"/>
        </w:rPr>
        <w:t>第一章  总则</w:t>
      </w:r>
    </w:p>
    <w:p>
      <w:pPr>
        <w:pStyle w:val="Normal"/>
        <w:spacing w:lineRule="auto" w:line="360"/>
        <w:ind w:firstLine="537" w:right="0"/>
        <w:rPr/>
      </w:pPr>
      <w:r>
        <w:rPr>
          <w:rFonts w:ascii="仿宋" w:hAnsi="仿宋" w:cs="仿宋" w:eastAsia="仿宋"/>
          <w:sz w:val="28"/>
          <w:szCs w:val="28"/>
        </w:rPr>
        <w:t>第一条  为积极开展</w:t>
      </w:r>
      <w:r>
        <w:rPr>
          <w:rFonts w:eastAsia="仿宋" w:cs="仿宋" w:ascii="仿宋" w:hAnsi="仿宋"/>
          <w:sz w:val="28"/>
          <w:szCs w:val="28"/>
        </w:rPr>
        <w:t>××××</w:t>
      </w:r>
      <w:r>
        <w:rPr>
          <w:rFonts w:ascii="仿宋" w:hAnsi="仿宋" w:cs="仿宋" w:eastAsia="仿宋"/>
          <w:sz w:val="28"/>
          <w:szCs w:val="28"/>
        </w:rPr>
        <w:t>银行股份有限公司（以下简称“本行”）电子商业汇票贴现业务，有效防范票据风险，促进电子商业汇票业务发展，依据《中华人民共和国票据法》、《商业汇票承兑、贴现与再贴现管理暂行办法》、《电子商业汇票业务管理办法》、《关于规范和促进电子商业汇票业务发展的通知》及有关法律制度，结合本行实际，特制定本办法。</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第二条  电子商业汇票系统，是指经中国人民银行批准建立，依托网络和计算机技术，接收、存储、发送电子商业汇票数据电文，提供与电子商业汇票货币给付、资金清算行为等相关服务的业务处理平台。</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本行采用与上线中国人民银行电子商业汇票系统（简称“人行</w:t>
      </w:r>
      <w:r>
        <w:rPr>
          <w:rFonts w:eastAsia="仿宋" w:cs="仿宋" w:ascii="仿宋" w:hAnsi="仿宋"/>
          <w:sz w:val="28"/>
          <w:szCs w:val="28"/>
        </w:rPr>
        <w:t>ECDS</w:t>
      </w:r>
      <w:r>
        <w:rPr>
          <w:rFonts w:ascii="仿宋" w:hAnsi="仿宋" w:cs="仿宋" w:eastAsia="仿宋"/>
          <w:sz w:val="28"/>
          <w:szCs w:val="28"/>
        </w:rPr>
        <w:t>系统”）的接入行签订《代理电子商业汇票业务服务协议》的方式，间接接入人行</w:t>
      </w:r>
      <w:r>
        <w:rPr>
          <w:rFonts w:eastAsia="仿宋" w:cs="仿宋" w:ascii="仿宋" w:hAnsi="仿宋"/>
          <w:sz w:val="28"/>
          <w:szCs w:val="28"/>
        </w:rPr>
        <w:t>ECDS</w:t>
      </w:r>
      <w:r>
        <w:rPr>
          <w:rFonts w:ascii="仿宋" w:hAnsi="仿宋" w:cs="仿宋" w:eastAsia="仿宋"/>
          <w:sz w:val="28"/>
          <w:szCs w:val="28"/>
        </w:rPr>
        <w:t>系统。</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本办法所称电子商业汇票贴现业务是指以人行</w:t>
      </w:r>
      <w:r>
        <w:rPr>
          <w:rFonts w:eastAsia="仿宋" w:cs="仿宋" w:ascii="仿宋" w:hAnsi="仿宋"/>
          <w:sz w:val="28"/>
          <w:szCs w:val="28"/>
        </w:rPr>
        <w:t>ECDS</w:t>
      </w:r>
      <w:r>
        <w:rPr>
          <w:rFonts w:ascii="仿宋" w:hAnsi="仿宋" w:cs="仿宋" w:eastAsia="仿宋"/>
          <w:sz w:val="28"/>
          <w:szCs w:val="28"/>
        </w:rPr>
        <w:t>系统为核心，提供电子商业汇票的贴现和转贴现等业务。</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第三条  电子商业汇票贴现业务适用于对公客户、财务公司、其他银行对电子商业汇票业务的处理需求。</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办理电子商业汇票贴现业务要以真实、合法的交易关系或债权债务关系为基础，遵循安全性、流动性、效益性原则。</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第四条  贴现是指持票人在票据到期日前，将票据权利背书转让给金融机构，由金融机构扣除一定利息后，将约定金额支付给持票人的票据行为。</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转贴现是指持有票据的金融机构在票据到期日前，将票据权利背书转让给其他金融机构，由其扣除一定利息后，将约定金额支付给持票人的票据行为。</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电子商业汇票的付款期限自出票日起至到期日止，最长不得超过</w:t>
      </w:r>
      <w:r>
        <w:rPr>
          <w:rFonts w:eastAsia="仿宋" w:cs="仿宋" w:ascii="仿宋" w:hAnsi="仿宋"/>
          <w:sz w:val="28"/>
          <w:szCs w:val="28"/>
        </w:rPr>
        <w:t>1</w:t>
      </w:r>
      <w:r>
        <w:rPr>
          <w:rFonts w:ascii="仿宋" w:hAnsi="仿宋" w:cs="仿宋" w:eastAsia="仿宋"/>
          <w:sz w:val="28"/>
          <w:szCs w:val="28"/>
        </w:rPr>
        <w:t>年。</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第五条  电子商业汇票分为电子银行承兑汇票和电子商业承兑汇票。电子银行承兑汇票由银行业金融机构、财务公司（以下统称金融机构）承兑；电子商业承兑汇票由金融机构以外的法人或其他组织承兑。</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电子商业承兑汇票按照本行贷款授信程序办理。</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第六条  电子商业汇票贴现和转贴现业务中转让票据权利的票据当事人为贴出人，受让票据权利的票据当事人为贴入人。</w:t>
      </w:r>
    </w:p>
    <w:p>
      <w:pPr>
        <w:pStyle w:val="Normal"/>
        <w:spacing w:lineRule="auto" w:line="360" w:before="156" w:after="0"/>
        <w:jc w:val="center"/>
        <w:rPr>
          <w:rFonts w:ascii="仿宋" w:hAnsi="仿宋" w:eastAsia="仿宋" w:cs="仿宋"/>
          <w:b/>
          <w:sz w:val="28"/>
          <w:szCs w:val="28"/>
        </w:rPr>
      </w:pPr>
      <w:r>
        <w:rPr>
          <w:rFonts w:ascii="仿宋" w:hAnsi="仿宋" w:cs="仿宋" w:eastAsia="仿宋"/>
          <w:b/>
          <w:sz w:val="28"/>
          <w:szCs w:val="28"/>
        </w:rPr>
        <w:t>第二章  部门职责</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第七条  金融市场部主要职责包括：</w:t>
      </w:r>
    </w:p>
    <w:p>
      <w:pPr>
        <w:pStyle w:val="Style15"/>
        <w:rPr>
          <w:rFonts w:ascii="仿宋" w:hAnsi="仿宋" w:eastAsia="仿宋" w:cs="仿宋"/>
          <w:sz w:val="28"/>
          <w:szCs w:val="28"/>
        </w:rPr>
      </w:pPr>
      <w:r>
        <w:rPr>
          <w:rFonts w:ascii="仿宋" w:hAnsi="仿宋" w:cs="仿宋" w:eastAsia="仿宋"/>
          <w:sz w:val="28"/>
          <w:szCs w:val="28"/>
        </w:rPr>
        <w:t xml:space="preserve">   </w:t>
      </w:r>
      <w:r>
        <w:rPr>
          <w:rFonts w:ascii="仿宋" w:hAnsi="仿宋" w:cs="仿宋" w:eastAsia="仿宋"/>
          <w:sz w:val="28"/>
          <w:szCs w:val="28"/>
        </w:rPr>
        <w:t>（一）负责制订电子商业汇票贴现与再贴现业务的相关管理制度和流程；</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（二）部门内部设置专门</w:t>
      </w:r>
      <w:r>
        <w:rPr>
          <w:rFonts w:eastAsia="仿宋" w:cs="仿宋" w:ascii="仿宋" w:hAnsi="仿宋"/>
          <w:sz w:val="28"/>
          <w:szCs w:val="28"/>
        </w:rPr>
        <w:t>ECDS</w:t>
      </w:r>
      <w:r>
        <w:rPr>
          <w:rFonts w:ascii="仿宋" w:hAnsi="仿宋" w:cs="仿宋" w:eastAsia="仿宋"/>
          <w:sz w:val="28"/>
          <w:szCs w:val="28"/>
        </w:rPr>
        <w:t>系统的业务操作岗、复核岗和管理岗；</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（三）负责电子商业汇票转贴业务客户的市场营销工作；</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（四）负责根据市场利率确定贴现利率。</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第八条  其它部门职责：</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（一）经办行（部）职责：</w:t>
      </w:r>
    </w:p>
    <w:p>
      <w:pPr>
        <w:pStyle w:val="Normal"/>
        <w:spacing w:lineRule="auto" w:line="360"/>
        <w:ind w:firstLine="537" w:right="0"/>
        <w:rPr>
          <w:rFonts w:ascii="仿宋" w:hAnsi="仿宋" w:eastAsia="仿宋" w:cs="仿宋"/>
          <w:sz w:val="28"/>
          <w:szCs w:val="28"/>
        </w:rPr>
      </w:pPr>
      <w:r>
        <w:rPr>
          <w:rFonts w:eastAsia="仿宋" w:cs="仿宋" w:ascii="仿宋" w:hAnsi="仿宋"/>
          <w:sz w:val="28"/>
          <w:szCs w:val="28"/>
        </w:rPr>
        <w:t>1.</w:t>
      </w:r>
      <w:r>
        <w:rPr>
          <w:rFonts w:ascii="仿宋" w:hAnsi="仿宋" w:cs="仿宋" w:eastAsia="仿宋"/>
          <w:sz w:val="28"/>
          <w:szCs w:val="28"/>
        </w:rPr>
        <w:t>根据金融市场部提供的利率定价，组织营销；</w:t>
      </w:r>
    </w:p>
    <w:p>
      <w:pPr>
        <w:pStyle w:val="Normal"/>
        <w:spacing w:lineRule="auto" w:line="360"/>
        <w:ind w:firstLine="537" w:right="0"/>
        <w:rPr>
          <w:rFonts w:ascii="仿宋" w:hAnsi="仿宋" w:eastAsia="仿宋" w:cs="仿宋"/>
          <w:sz w:val="28"/>
          <w:szCs w:val="28"/>
        </w:rPr>
      </w:pPr>
      <w:r>
        <w:rPr>
          <w:rFonts w:eastAsia="仿宋" w:cs="仿宋" w:ascii="仿宋" w:hAnsi="仿宋"/>
          <w:sz w:val="28"/>
          <w:szCs w:val="28"/>
        </w:rPr>
        <w:t>2.</w:t>
      </w:r>
      <w:r>
        <w:rPr>
          <w:rFonts w:ascii="仿宋" w:hAnsi="仿宋" w:cs="仿宋" w:eastAsia="仿宋"/>
          <w:sz w:val="28"/>
          <w:szCs w:val="28"/>
        </w:rPr>
        <w:t>负责对客户提供资料的真实性、完整性、合法性、合规性进行初审；</w:t>
      </w:r>
    </w:p>
    <w:p>
      <w:pPr>
        <w:pStyle w:val="Normal"/>
        <w:spacing w:lineRule="auto" w:line="360"/>
        <w:ind w:firstLine="537" w:right="0"/>
        <w:rPr>
          <w:rFonts w:ascii="仿宋" w:hAnsi="仿宋" w:eastAsia="仿宋" w:cs="仿宋"/>
          <w:sz w:val="28"/>
          <w:szCs w:val="28"/>
        </w:rPr>
      </w:pPr>
      <w:r>
        <w:rPr>
          <w:rFonts w:eastAsia="仿宋" w:cs="仿宋" w:ascii="仿宋" w:hAnsi="仿宋"/>
          <w:sz w:val="28"/>
          <w:szCs w:val="28"/>
        </w:rPr>
        <w:t>3.</w:t>
      </w:r>
      <w:r>
        <w:rPr>
          <w:rFonts w:ascii="仿宋" w:hAnsi="仿宋" w:cs="仿宋" w:eastAsia="仿宋"/>
          <w:sz w:val="28"/>
          <w:szCs w:val="28"/>
        </w:rPr>
        <w:t>负责与客户面签相关协议或合同。</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（二）授信评审部</w:t>
      </w:r>
    </w:p>
    <w:p>
      <w:pPr>
        <w:pStyle w:val="Normal"/>
        <w:spacing w:lineRule="auto" w:line="360"/>
        <w:ind w:firstLine="537" w:right="0"/>
        <w:rPr>
          <w:rFonts w:ascii="仿宋" w:hAnsi="仿宋" w:eastAsia="仿宋" w:cs="仿宋"/>
          <w:color w:val="000000"/>
          <w:sz w:val="28"/>
          <w:szCs w:val="28"/>
        </w:rPr>
      </w:pPr>
      <w:r>
        <w:rPr>
          <w:rFonts w:ascii="仿宋" w:hAnsi="仿宋" w:cs="仿宋" w:eastAsia="仿宋"/>
          <w:color w:val="000000"/>
          <w:sz w:val="28"/>
          <w:szCs w:val="28"/>
        </w:rPr>
        <w:t>对经办行（部）提交资料进行审查，对符合贴现要求的，交有权审批人审批，确定授信额度。</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（三）运营管理部</w:t>
      </w:r>
    </w:p>
    <w:p>
      <w:pPr>
        <w:pStyle w:val="Normal"/>
        <w:spacing w:lineRule="auto" w:line="360"/>
        <w:ind w:firstLine="537" w:right="0"/>
        <w:rPr>
          <w:rFonts w:ascii="仿宋" w:hAnsi="仿宋" w:eastAsia="仿宋" w:cs="仿宋"/>
          <w:sz w:val="28"/>
          <w:szCs w:val="28"/>
        </w:rPr>
      </w:pPr>
      <w:r>
        <w:rPr>
          <w:rFonts w:eastAsia="仿宋" w:cs="仿宋" w:ascii="仿宋" w:hAnsi="仿宋"/>
          <w:sz w:val="28"/>
          <w:szCs w:val="28"/>
        </w:rPr>
        <w:t>1</w:t>
      </w:r>
      <w:r>
        <w:rPr>
          <w:rFonts w:ascii="仿宋" w:hAnsi="仿宋" w:cs="仿宋" w:eastAsia="仿宋"/>
          <w:sz w:val="28"/>
          <w:szCs w:val="28"/>
        </w:rPr>
        <w:t>．指定专门人员复核并审验电子商业汇票贴现业务在人行</w:t>
      </w:r>
      <w:r>
        <w:rPr>
          <w:rFonts w:eastAsia="仿宋" w:cs="仿宋" w:ascii="仿宋" w:hAnsi="仿宋"/>
          <w:sz w:val="28"/>
          <w:szCs w:val="28"/>
        </w:rPr>
        <w:t>ECDS</w:t>
      </w:r>
      <w:r>
        <w:rPr>
          <w:rFonts w:ascii="仿宋" w:hAnsi="仿宋" w:cs="仿宋" w:eastAsia="仿宋"/>
          <w:sz w:val="28"/>
          <w:szCs w:val="28"/>
        </w:rPr>
        <w:t>系统中操作的准确性；</w:t>
      </w:r>
    </w:p>
    <w:p>
      <w:pPr>
        <w:pStyle w:val="Normal"/>
        <w:spacing w:lineRule="auto" w:line="360"/>
        <w:ind w:firstLine="537" w:right="0"/>
        <w:rPr>
          <w:rFonts w:ascii="仿宋" w:hAnsi="仿宋" w:eastAsia="仿宋" w:cs="仿宋"/>
          <w:sz w:val="28"/>
          <w:szCs w:val="28"/>
        </w:rPr>
      </w:pPr>
      <w:r>
        <w:rPr>
          <w:rFonts w:eastAsia="仿宋" w:cs="仿宋" w:ascii="仿宋" w:hAnsi="仿宋"/>
          <w:sz w:val="28"/>
          <w:szCs w:val="28"/>
        </w:rPr>
        <w:t>2</w:t>
      </w:r>
      <w:r>
        <w:rPr>
          <w:rFonts w:ascii="仿宋" w:hAnsi="仿宋" w:cs="仿宋" w:eastAsia="仿宋"/>
          <w:sz w:val="28"/>
          <w:szCs w:val="28"/>
        </w:rPr>
        <w:t>．处理与电子商业汇票贴现业务交易操作有关的账务、差错和日常资金清算业务处理。</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（四）计划财务部</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负责电子商业汇票贴现业务的会计科目核算处理。</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（五）合规管理部</w:t>
      </w:r>
    </w:p>
    <w:p>
      <w:pPr>
        <w:pStyle w:val="Normal"/>
        <w:spacing w:lineRule="auto" w:line="360"/>
        <w:ind w:firstLine="537" w:right="0"/>
        <w:rPr>
          <w:rFonts w:ascii="仿宋" w:hAnsi="仿宋" w:eastAsia="仿宋" w:cs="仿宋"/>
          <w:sz w:val="28"/>
          <w:szCs w:val="28"/>
        </w:rPr>
      </w:pPr>
      <w:r>
        <w:rPr>
          <w:rFonts w:eastAsia="仿宋" w:cs="仿宋" w:ascii="仿宋" w:hAnsi="仿宋"/>
          <w:sz w:val="28"/>
          <w:szCs w:val="28"/>
        </w:rPr>
        <w:t>1</w:t>
      </w:r>
      <w:r>
        <w:rPr>
          <w:rFonts w:ascii="仿宋" w:hAnsi="仿宋" w:cs="仿宋" w:eastAsia="仿宋"/>
          <w:sz w:val="28"/>
          <w:szCs w:val="28"/>
        </w:rPr>
        <w:t xml:space="preserve">．审定有关电子商业汇票贴现业务服务协议、合同文本及相关制度的合法、合规性； </w:t>
      </w:r>
    </w:p>
    <w:p>
      <w:pPr>
        <w:pStyle w:val="Normal"/>
        <w:spacing w:lineRule="auto" w:line="360"/>
        <w:ind w:firstLine="537" w:right="0"/>
        <w:rPr>
          <w:rFonts w:ascii="仿宋" w:hAnsi="仿宋" w:eastAsia="仿宋" w:cs="仿宋"/>
          <w:sz w:val="28"/>
          <w:szCs w:val="28"/>
        </w:rPr>
      </w:pPr>
      <w:r>
        <w:rPr>
          <w:rFonts w:eastAsia="仿宋" w:cs="仿宋" w:ascii="仿宋" w:hAnsi="仿宋"/>
          <w:sz w:val="28"/>
          <w:szCs w:val="28"/>
        </w:rPr>
        <w:t>2</w:t>
      </w:r>
      <w:r>
        <w:rPr>
          <w:rFonts w:ascii="仿宋" w:hAnsi="仿宋" w:cs="仿宋" w:eastAsia="仿宋"/>
          <w:sz w:val="28"/>
          <w:szCs w:val="28"/>
        </w:rPr>
        <w:t>．给予该项业务在开办过程中需要的相关法律支持。</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（六）科技信息部</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负责电子商业汇票综合管理系统的运行维护和技术支持，保障系统的平稳运行，并根据业务和管理部门要求，积极拓展系统功能。</w:t>
      </w:r>
    </w:p>
    <w:p>
      <w:pPr>
        <w:pStyle w:val="Normal"/>
        <w:spacing w:lineRule="auto" w:line="360" w:before="156" w:after="0"/>
        <w:jc w:val="center"/>
        <w:rPr>
          <w:rFonts w:ascii="仿宋" w:hAnsi="仿宋" w:eastAsia="仿宋" w:cs="仿宋"/>
          <w:b/>
          <w:sz w:val="28"/>
          <w:szCs w:val="28"/>
        </w:rPr>
      </w:pPr>
      <w:r>
        <w:rPr>
          <w:rFonts w:ascii="仿宋" w:hAnsi="仿宋" w:cs="仿宋" w:eastAsia="仿宋"/>
          <w:b/>
          <w:sz w:val="28"/>
          <w:szCs w:val="28"/>
        </w:rPr>
        <w:t>第三章  流程管理</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第九条  申请电子商业汇票贴现的持票人必须具备下列条件：</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（一）已在市场监督管理部门登记注册，依法从事经营活动的企业法人和其它经济组织；</w:t>
      </w:r>
    </w:p>
    <w:p>
      <w:pPr>
        <w:pStyle w:val="Normal"/>
        <w:spacing w:lineRule="auto" w:line="360"/>
        <w:ind w:firstLine="537" w:right="0"/>
        <w:rPr/>
      </w:pPr>
      <w:r>
        <w:rPr>
          <w:rFonts w:ascii="仿宋" w:hAnsi="仿宋" w:cs="仿宋" w:eastAsia="仿宋"/>
          <w:sz w:val="28"/>
          <w:szCs w:val="28"/>
        </w:rPr>
        <w:t>（二）贴现申请人须在本行开立存款账户</w:t>
      </w:r>
      <w:r>
        <w:rPr>
          <w:rFonts w:ascii="仿宋" w:hAnsi="仿宋" w:cs="仿宋" w:eastAsia="仿宋"/>
          <w:color w:val="FF0000"/>
          <w:sz w:val="28"/>
          <w:szCs w:val="28"/>
        </w:rPr>
        <w:t>并开通企业网银</w:t>
      </w:r>
      <w:r>
        <w:rPr>
          <w:rFonts w:ascii="仿宋" w:hAnsi="仿宋" w:cs="仿宋" w:eastAsia="仿宋"/>
          <w:sz w:val="28"/>
          <w:szCs w:val="28"/>
        </w:rPr>
        <w:t>。</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第十条　电子商业汇票贴现业务操作流程</w:t>
      </w:r>
      <w:r>
        <w:rPr>
          <w:rFonts w:eastAsia="仿宋" w:cs="仿宋" w:ascii="仿宋" w:hAnsi="仿宋"/>
          <w:sz w:val="28"/>
          <w:szCs w:val="28"/>
        </w:rPr>
        <w:t>:</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（一）持票人向经办行（部）提出业务申请，并提交下列资料：</w:t>
      </w:r>
    </w:p>
    <w:p>
      <w:pPr>
        <w:pStyle w:val="Normal"/>
        <w:spacing w:lineRule="auto" w:line="360"/>
        <w:ind w:firstLine="537" w:right="0"/>
        <w:rPr>
          <w:rFonts w:ascii="仿宋" w:hAnsi="仿宋" w:eastAsia="仿宋" w:cs="仿宋"/>
          <w:sz w:val="28"/>
          <w:szCs w:val="28"/>
        </w:rPr>
      </w:pPr>
      <w:r>
        <w:rPr>
          <w:rFonts w:eastAsia="仿宋" w:cs="仿宋" w:ascii="仿宋" w:hAnsi="仿宋"/>
          <w:sz w:val="28"/>
          <w:szCs w:val="28"/>
        </w:rPr>
        <w:t>1</w:t>
      </w:r>
      <w:r>
        <w:rPr>
          <w:rFonts w:ascii="仿宋" w:hAnsi="仿宋" w:cs="仿宋" w:eastAsia="仿宋"/>
          <w:sz w:val="28"/>
          <w:szCs w:val="28"/>
        </w:rPr>
        <w:t>．《银行承兑汇票贴现申请、审批表》；</w:t>
      </w:r>
    </w:p>
    <w:p>
      <w:pPr>
        <w:pStyle w:val="Normal"/>
        <w:spacing w:lineRule="auto" w:line="360"/>
        <w:ind w:firstLine="537" w:right="0"/>
        <w:rPr>
          <w:rFonts w:ascii="仿宋" w:hAnsi="仿宋" w:eastAsia="仿宋" w:cs="仿宋"/>
          <w:sz w:val="28"/>
          <w:szCs w:val="28"/>
        </w:rPr>
      </w:pPr>
      <w:r>
        <w:rPr>
          <w:rFonts w:eastAsia="仿宋" w:cs="仿宋" w:ascii="仿宋" w:hAnsi="仿宋"/>
          <w:sz w:val="28"/>
          <w:szCs w:val="28"/>
        </w:rPr>
        <w:t>2</w:t>
      </w:r>
      <w:r>
        <w:rPr>
          <w:rFonts w:ascii="仿宋" w:hAnsi="仿宋" w:cs="仿宋" w:eastAsia="仿宋"/>
          <w:sz w:val="28"/>
          <w:szCs w:val="28"/>
        </w:rPr>
        <w:t>．《银行承兑汇票贴现协议》；</w:t>
      </w:r>
    </w:p>
    <w:p>
      <w:pPr>
        <w:pStyle w:val="Normal"/>
        <w:spacing w:lineRule="auto" w:line="360"/>
        <w:ind w:firstLine="537" w:right="0"/>
        <w:rPr>
          <w:rFonts w:ascii="仿宋" w:hAnsi="仿宋" w:eastAsia="仿宋" w:cs="仿宋"/>
          <w:sz w:val="28"/>
          <w:szCs w:val="28"/>
        </w:rPr>
      </w:pPr>
      <w:r>
        <w:rPr>
          <w:rFonts w:eastAsia="仿宋" w:cs="仿宋" w:ascii="仿宋" w:hAnsi="仿宋"/>
          <w:sz w:val="28"/>
          <w:szCs w:val="28"/>
        </w:rPr>
        <w:t>3</w:t>
      </w:r>
      <w:r>
        <w:rPr>
          <w:rFonts w:ascii="仿宋" w:hAnsi="仿宋" w:cs="仿宋" w:eastAsia="仿宋"/>
          <w:sz w:val="28"/>
          <w:szCs w:val="28"/>
        </w:rPr>
        <w:t>． 初次申请电子商业汇票贴现业务时，要提供经年检的《法人营业执照》复印件、《开户许可证》复印件及法人代表身份证复印件等基础资料，并加盖申请人印章。</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二）经办行（部）接到客户的贴现申请后，要对客户提供资料的真实性、合规性进行调查核实，经核对无误后，经办人应签名以示负责，同时，经办行（部）要在金融市场部公布利率基础上与客户协商确定贴现利率。</w:t>
      </w:r>
    </w:p>
    <w:p>
      <w:pPr>
        <w:pStyle w:val="Normal"/>
        <w:spacing w:lineRule="exact" w:line="540"/>
        <w:ind w:firstLine="537" w:right="0"/>
        <w:rPr/>
      </w:pPr>
      <w:r>
        <w:rPr>
          <w:rFonts w:ascii="仿宋" w:hAnsi="仿宋" w:cs="仿宋" w:eastAsia="仿宋"/>
          <w:sz w:val="28"/>
          <w:szCs w:val="28"/>
        </w:rPr>
        <w:t>（三）</w:t>
      </w:r>
      <w:r>
        <w:rPr>
          <w:rFonts w:ascii="仿宋" w:hAnsi="仿宋" w:cs="仿宋" w:eastAsia="仿宋"/>
          <w:color w:val="000000"/>
          <w:sz w:val="28"/>
          <w:szCs w:val="28"/>
        </w:rPr>
        <w:t>授信评审部对经办行（部）提交的贴现业务进行授信审核，对符合贴现要求的，交有权审批人审批，确定授信额度。</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（四）信贷管理部对上报的贴现用信业务资料审核无误后，交有权审批人审批。</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（五）金融市场部对客户经理提交的电子商业汇票贴现资料的完整性进行审查。</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（六）清算中心进行账务处理，审核金融市场部在人行</w:t>
      </w:r>
      <w:r>
        <w:rPr>
          <w:rFonts w:eastAsia="仿宋" w:cs="仿宋" w:ascii="仿宋" w:hAnsi="仿宋"/>
          <w:sz w:val="28"/>
          <w:szCs w:val="28"/>
        </w:rPr>
        <w:t>ECDS</w:t>
      </w:r>
      <w:r>
        <w:rPr>
          <w:rFonts w:ascii="仿宋" w:hAnsi="仿宋" w:cs="仿宋" w:eastAsia="仿宋"/>
          <w:sz w:val="28"/>
          <w:szCs w:val="28"/>
        </w:rPr>
        <w:t>系统中的业务操作，核对贴现利率、贴现金额等票据要素，核对无误后将贴现款划至贴现申请人存款账户上。</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（七）到期处理</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 xml:space="preserve"> </w:t>
      </w:r>
      <w:r>
        <w:rPr>
          <w:rFonts w:eastAsia="仿宋" w:cs="仿宋" w:ascii="仿宋" w:hAnsi="仿宋"/>
          <w:sz w:val="28"/>
          <w:szCs w:val="28"/>
        </w:rPr>
        <w:t>1</w:t>
      </w:r>
      <w:r>
        <w:rPr>
          <w:rFonts w:ascii="仿宋" w:hAnsi="仿宋" w:cs="仿宋" w:eastAsia="仿宋"/>
          <w:sz w:val="28"/>
          <w:szCs w:val="28"/>
        </w:rPr>
        <w:t>．提示付款是指持票人通过电子商业汇票系统向承兑人请求付款的行为。清算中心应在提示付款期内向承兑人提示付款。提示付款期自票据到期日起</w:t>
      </w:r>
      <w:r>
        <w:rPr>
          <w:rFonts w:eastAsia="仿宋" w:cs="仿宋" w:ascii="仿宋" w:hAnsi="仿宋"/>
          <w:sz w:val="28"/>
          <w:szCs w:val="28"/>
        </w:rPr>
        <w:t>10</w:t>
      </w:r>
      <w:r>
        <w:rPr>
          <w:rFonts w:ascii="仿宋" w:hAnsi="仿宋" w:cs="仿宋" w:eastAsia="仿宋"/>
          <w:sz w:val="28"/>
          <w:szCs w:val="28"/>
        </w:rPr>
        <w:t>日，最后一日遇法定休假日、大额支付系统非营业日、电子商业汇票系统非营业日顺延。本行发出提示付款请求时，可在人行</w:t>
      </w:r>
      <w:r>
        <w:rPr>
          <w:rFonts w:eastAsia="仿宋" w:cs="仿宋" w:ascii="仿宋" w:hAnsi="仿宋"/>
          <w:sz w:val="28"/>
          <w:szCs w:val="28"/>
        </w:rPr>
        <w:t>ECDS</w:t>
      </w:r>
      <w:r>
        <w:rPr>
          <w:rFonts w:ascii="仿宋" w:hAnsi="仿宋" w:cs="仿宋" w:eastAsia="仿宋"/>
          <w:sz w:val="28"/>
          <w:szCs w:val="28"/>
        </w:rPr>
        <w:t>系统中对发出托收的电子商业汇票托收和回款情况进行查询。</w:t>
      </w:r>
    </w:p>
    <w:p>
      <w:pPr>
        <w:pStyle w:val="Normal"/>
        <w:spacing w:lineRule="auto" w:line="360"/>
        <w:ind w:firstLine="537" w:right="0"/>
        <w:rPr>
          <w:rFonts w:ascii="仿宋" w:hAnsi="仿宋" w:eastAsia="仿宋" w:cs="仿宋"/>
          <w:sz w:val="28"/>
          <w:szCs w:val="28"/>
        </w:rPr>
      </w:pPr>
      <w:r>
        <w:rPr>
          <w:rFonts w:eastAsia="仿宋" w:cs="仿宋" w:ascii="仿宋" w:hAnsi="仿宋"/>
          <w:sz w:val="28"/>
          <w:szCs w:val="28"/>
        </w:rPr>
        <w:t>2</w:t>
      </w:r>
      <w:r>
        <w:rPr>
          <w:rFonts w:ascii="仿宋" w:hAnsi="仿宋" w:cs="仿宋" w:eastAsia="仿宋"/>
          <w:sz w:val="28"/>
          <w:szCs w:val="28"/>
        </w:rPr>
        <w:t>．票据到期如未收到款项且非本行责任的，清算中心直接从贴现申请人存款账户中扣划。申请贴现的持票人存款账户存款余额不足的，应先将存款划完，不足部分按逾期贷款的规定处理。同时应立即凭承兑银行退回的拒绝付款理由书或付款人未付票款通知书行使追索权。</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第十一条  电子商业汇票转贴现业务指人行</w:t>
      </w:r>
      <w:r>
        <w:rPr>
          <w:rFonts w:eastAsia="仿宋" w:cs="仿宋" w:ascii="仿宋" w:hAnsi="仿宋"/>
          <w:sz w:val="28"/>
          <w:szCs w:val="28"/>
        </w:rPr>
        <w:t>ECDS</w:t>
      </w:r>
      <w:r>
        <w:rPr>
          <w:rFonts w:ascii="仿宋" w:hAnsi="仿宋" w:cs="仿宋" w:eastAsia="仿宋"/>
          <w:sz w:val="28"/>
          <w:szCs w:val="28"/>
        </w:rPr>
        <w:t>系统内转贴现业务，交易双方为本行与全国范围内加入中国人民银行电子商业汇票系统内的各金融经营机构。</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第十二条  电子商业汇票转贴现业务流程：</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（一）金融市场部负责办理本行的电子商业汇票转贴现业务，根据市场利率水平确定电子商业汇票的转贴现利率，并交有权部门审查、审批，具体审批流程参照本行《商业汇票转贴现管理办法》执行；</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（二）运营管理部下属清算中心负责电子商业汇票转贴现业务资金的复核、清算及电子商业汇票转贴现业务审批资料保管工作。</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第十三条  转贴现买入／卖出交易均在人行</w:t>
      </w:r>
      <w:r>
        <w:rPr>
          <w:rFonts w:eastAsia="仿宋" w:cs="仿宋" w:ascii="仿宋" w:hAnsi="仿宋"/>
          <w:sz w:val="28"/>
          <w:szCs w:val="28"/>
        </w:rPr>
        <w:t>ECDS</w:t>
      </w:r>
      <w:r>
        <w:rPr>
          <w:rFonts w:ascii="仿宋" w:hAnsi="仿宋" w:cs="仿宋" w:eastAsia="仿宋"/>
          <w:sz w:val="28"/>
          <w:szCs w:val="28"/>
        </w:rPr>
        <w:t>系统进行业务操作。</w:t>
      </w:r>
    </w:p>
    <w:p>
      <w:pPr>
        <w:pStyle w:val="Normal"/>
        <w:spacing w:lineRule="auto" w:line="360"/>
        <w:ind w:firstLine="537" w:right="0"/>
        <w:rPr/>
      </w:pPr>
      <w:r>
        <w:rPr>
          <w:rFonts w:ascii="仿宋" w:hAnsi="仿宋" w:cs="仿宋" w:eastAsia="仿宋"/>
          <w:sz w:val="28"/>
          <w:szCs w:val="28"/>
        </w:rPr>
        <w:t>第十四条  电子商业汇票转贴现的业务品种包括但不限于：买断式转贴现、回购式转贴现，转贴现的会计账务处理与纸质商业汇票一致。</w:t>
      </w:r>
    </w:p>
    <w:p>
      <w:pPr>
        <w:pStyle w:val="Normal"/>
        <w:spacing w:lineRule="auto" w:line="360" w:before="156" w:after="0"/>
        <w:jc w:val="center"/>
        <w:rPr>
          <w:rFonts w:ascii="仿宋" w:hAnsi="仿宋" w:eastAsia="仿宋" w:cs="仿宋"/>
          <w:b/>
          <w:sz w:val="28"/>
          <w:szCs w:val="28"/>
        </w:rPr>
      </w:pPr>
      <w:r>
        <w:rPr>
          <w:rFonts w:ascii="仿宋" w:hAnsi="仿宋" w:cs="仿宋" w:eastAsia="仿宋"/>
          <w:b/>
          <w:sz w:val="28"/>
          <w:szCs w:val="28"/>
        </w:rPr>
        <w:t>第四章  系统操作管理</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第十五条  岗位设置和人员要求</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金融市场部设置贴现业务操作岗，复核岗，本行科技信息部设置系统管理岗。岗位需遵循本行《电子商业汇票业务管理办法》及中国人民银行商业汇票交易管理系统的设置和管理要求设定，不得相互兼任。</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第十六条  系统操作权限</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（一）系统管理员（经办</w:t>
      </w:r>
      <w:r>
        <w:rPr>
          <w:rFonts w:eastAsia="仿宋" w:cs="仿宋" w:ascii="仿宋" w:hAnsi="仿宋"/>
          <w:sz w:val="28"/>
          <w:szCs w:val="28"/>
        </w:rPr>
        <w:t>/</w:t>
      </w:r>
      <w:r>
        <w:rPr>
          <w:rFonts w:ascii="仿宋" w:hAnsi="仿宋" w:cs="仿宋" w:eastAsia="仿宋"/>
          <w:sz w:val="28"/>
          <w:szCs w:val="28"/>
        </w:rPr>
        <w:t>复核）</w:t>
      </w:r>
    </w:p>
    <w:p>
      <w:pPr>
        <w:pStyle w:val="Normal"/>
        <w:spacing w:lineRule="auto" w:line="360"/>
        <w:ind w:firstLine="537" w:right="0"/>
        <w:rPr>
          <w:rFonts w:ascii="仿宋" w:hAnsi="仿宋" w:eastAsia="仿宋" w:cs="仿宋"/>
          <w:sz w:val="28"/>
          <w:szCs w:val="28"/>
        </w:rPr>
      </w:pPr>
      <w:r>
        <w:rPr>
          <w:rFonts w:eastAsia="仿宋" w:cs="仿宋" w:ascii="仿宋" w:hAnsi="仿宋"/>
          <w:sz w:val="28"/>
          <w:szCs w:val="28"/>
        </w:rPr>
        <w:t>1</w:t>
      </w:r>
      <w:r>
        <w:rPr>
          <w:rFonts w:ascii="仿宋" w:hAnsi="仿宋" w:cs="仿宋" w:eastAsia="仿宋"/>
          <w:sz w:val="28"/>
          <w:szCs w:val="28"/>
        </w:rPr>
        <w:t>．负责业务经办人员的增加、密码重置、状态维护和角色分配；</w:t>
      </w:r>
    </w:p>
    <w:p>
      <w:pPr>
        <w:pStyle w:val="Normal"/>
        <w:spacing w:lineRule="auto" w:line="360"/>
        <w:ind w:firstLine="537" w:right="0"/>
        <w:rPr>
          <w:rFonts w:ascii="仿宋" w:hAnsi="仿宋" w:eastAsia="仿宋" w:cs="仿宋"/>
          <w:sz w:val="28"/>
          <w:szCs w:val="28"/>
        </w:rPr>
      </w:pPr>
      <w:r>
        <w:rPr>
          <w:rFonts w:eastAsia="仿宋" w:cs="仿宋" w:ascii="仿宋" w:hAnsi="仿宋"/>
          <w:sz w:val="28"/>
          <w:szCs w:val="28"/>
        </w:rPr>
        <w:t>2</w:t>
      </w:r>
      <w:r>
        <w:rPr>
          <w:rFonts w:ascii="仿宋" w:hAnsi="仿宋" w:cs="仿宋" w:eastAsia="仿宋"/>
          <w:sz w:val="28"/>
          <w:szCs w:val="28"/>
        </w:rPr>
        <w:t>．负责系统的机构维护、角色设置和审核路线设置。</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（二）操作人员</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电子票据子系统业务经办人员由金融市场部部门人员担任；业务复核人员由运营管理部下属清算中心指定人员担任；各岗位相互制约。</w:t>
      </w:r>
    </w:p>
    <w:p>
      <w:pPr>
        <w:pStyle w:val="Normal"/>
        <w:spacing w:lineRule="auto" w:line="360" w:before="156" w:after="0"/>
        <w:jc w:val="center"/>
        <w:rPr>
          <w:rFonts w:ascii="仿宋" w:hAnsi="仿宋" w:eastAsia="仿宋" w:cs="仿宋"/>
          <w:b/>
          <w:sz w:val="28"/>
          <w:szCs w:val="28"/>
        </w:rPr>
      </w:pPr>
      <w:r>
        <w:rPr>
          <w:rFonts w:ascii="仿宋" w:hAnsi="仿宋" w:cs="仿宋" w:eastAsia="仿宋"/>
          <w:b/>
          <w:sz w:val="28"/>
          <w:szCs w:val="28"/>
        </w:rPr>
        <w:t>第五章  检查和监督</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第十七条  办理电子商业汇票贴现业务的金融市场部应建立贴现台账，并与会计账务核对一致。</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第十八条  经办行（部）应定期或不定期对贴现申请人的资金流向、到期支付汇票能力及等情况进行一次跟踪检查。主要内容包括：是否按规定用途使用资金，汇票项下的商品交易是否按约履行，有无套取银行资金等行为。</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第十九条  对于电子商业汇票到期未获偿付的垫款部分，视同流动资金不良贷款进行管理，经办行加强催收工作。</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第二十条 清算中心在办理票据（含纸票）贴现、转贴现等业务时，通过查询电票系统以及中国法院网、法院公告网、人民法院报网站等方式及时掌握票据是否被挂失止付或公示催告等信息，严格执行支付系统查询查复有关规定，全面如实的向查询行回复票据冻结、司法涉诉等信息，切实防范风险。</w:t>
      </w:r>
    </w:p>
    <w:p>
      <w:pPr>
        <w:pStyle w:val="Normal"/>
        <w:spacing w:lineRule="auto" w:line="360" w:before="156" w:after="0"/>
        <w:jc w:val="center"/>
        <w:rPr>
          <w:rFonts w:ascii="仿宋" w:hAnsi="仿宋" w:eastAsia="仿宋" w:cs="仿宋"/>
          <w:b/>
          <w:sz w:val="28"/>
          <w:szCs w:val="28"/>
        </w:rPr>
      </w:pPr>
      <w:r>
        <w:rPr>
          <w:rFonts w:ascii="仿宋" w:hAnsi="仿宋" w:cs="仿宋" w:eastAsia="仿宋"/>
          <w:b/>
          <w:sz w:val="28"/>
          <w:szCs w:val="28"/>
        </w:rPr>
        <w:t>第六章  责任与处罚</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第二十一条  对贴现申请人弄虚作假，提供假合同、假发票套取银行承兑的，应立即采取有效措施，强行扣划保证金或存款，并对不遵守信用的企业，立即停止办理新的电子商业汇票贴现业务，并采取必要的信贷制裁措施，经办行客户经理在初审时应发现而未发现的上述情形的，追究经办行相关人员的责任。</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第二十二条  对贴现申请人无款支付转入垫款科目核算的垫付款项，按照有关贷款责任制管理规定进行处理。</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第二十三条  业务人员在办理电子商业汇票业务中，违反相关规定的，将按照《员工违规行为处理办法》追究相应责任。</w:t>
      </w:r>
    </w:p>
    <w:p>
      <w:pPr>
        <w:pStyle w:val="Normal"/>
        <w:spacing w:lineRule="auto" w:line="360" w:before="156" w:after="0"/>
        <w:jc w:val="center"/>
        <w:rPr>
          <w:rFonts w:ascii="仿宋" w:hAnsi="仿宋" w:eastAsia="仿宋" w:cs="仿宋"/>
          <w:b/>
          <w:sz w:val="28"/>
          <w:szCs w:val="28"/>
        </w:rPr>
      </w:pPr>
      <w:r>
        <w:rPr>
          <w:rFonts w:ascii="仿宋" w:hAnsi="仿宋" w:cs="仿宋" w:eastAsia="仿宋"/>
          <w:b/>
          <w:sz w:val="28"/>
          <w:szCs w:val="28"/>
        </w:rPr>
        <w:t>第七章  附则</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第二十四条</w:t>
      </w:r>
      <w:r>
        <w:rPr>
          <w:rFonts w:ascii="仿宋" w:hAnsi="仿宋" w:cs="仿宋" w:eastAsia="仿宋"/>
          <w:sz w:val="28"/>
          <w:szCs w:val="28"/>
        </w:rPr>
        <w:t xml:space="preserve">  </w:t>
      </w:r>
      <w:r>
        <w:rPr>
          <w:rFonts w:ascii="仿宋" w:hAnsi="仿宋" w:cs="仿宋" w:eastAsia="仿宋"/>
          <w:sz w:val="28"/>
          <w:szCs w:val="28"/>
        </w:rPr>
        <w:t>本办法由</w:t>
      </w:r>
      <w:r>
        <w:rPr>
          <w:rFonts w:eastAsia="仿宋" w:cs="仿宋" w:ascii="仿宋" w:hAnsi="仿宋"/>
          <w:sz w:val="28"/>
          <w:szCs w:val="28"/>
        </w:rPr>
        <w:t>××××</w:t>
      </w:r>
      <w:r>
        <w:rPr>
          <w:rFonts w:ascii="仿宋" w:hAnsi="仿宋" w:cs="仿宋" w:eastAsia="仿宋"/>
          <w:sz w:val="28"/>
          <w:szCs w:val="28"/>
        </w:rPr>
        <w:t>银行股份有限公司金融市场部负责解释和修订。</w:t>
      </w:r>
    </w:p>
    <w:p>
      <w:pPr>
        <w:pStyle w:val="Normal"/>
        <w:spacing w:lineRule="auto" w:line="360"/>
        <w:ind w:firstLine="537" w:right="0"/>
        <w:rPr>
          <w:rFonts w:ascii="仿宋" w:hAnsi="仿宋" w:eastAsia="仿宋" w:cs="仿宋"/>
          <w:sz w:val="28"/>
          <w:szCs w:val="28"/>
        </w:rPr>
      </w:pPr>
      <w:r>
        <w:rPr>
          <w:rFonts w:ascii="仿宋" w:hAnsi="仿宋" w:cs="仿宋" w:eastAsia="仿宋"/>
          <w:sz w:val="28"/>
          <w:szCs w:val="28"/>
        </w:rPr>
        <w:t>第二十五条</w:t>
      </w:r>
      <w:r>
        <w:rPr>
          <w:rFonts w:ascii="仿宋" w:hAnsi="仿宋" w:cs="仿宋" w:eastAsia="仿宋"/>
          <w:sz w:val="28"/>
          <w:szCs w:val="28"/>
        </w:rPr>
        <w:t xml:space="preserve">  </w:t>
      </w:r>
      <w:r>
        <w:rPr>
          <w:rFonts w:ascii="仿宋" w:hAnsi="仿宋" w:cs="仿宋" w:eastAsia="仿宋"/>
          <w:sz w:val="28"/>
          <w:szCs w:val="28"/>
        </w:rPr>
        <w:t>本办法自发文之日起施行。</w:t>
      </w:r>
    </w:p>
    <w:p>
      <w:pPr>
        <w:pStyle w:val="Normal"/>
        <w:spacing w:lineRule="auto" w:line="360"/>
        <w:ind w:firstLine="537" w:right="0"/>
        <w:rPr>
          <w:rFonts w:ascii="仿宋" w:hAnsi="仿宋" w:eastAsia="仿宋" w:cs="仿宋"/>
          <w:sz w:val="28"/>
          <w:szCs w:val="28"/>
        </w:rPr>
      </w:pPr>
      <w:r>
        <w:rPr>
          <w:rFonts w:eastAsia="仿宋" w:cs="仿宋" w:ascii="仿宋" w:hAnsi="仿宋"/>
          <w:sz w:val="28"/>
          <w:szCs w:val="28"/>
        </w:rPr>
      </w:r>
    </w:p>
    <w:sectPr>
      <w:type w:val="nextPage"/>
      <w:pgSz w:w="11906" w:h="16838"/>
      <w:pgMar w:left="1588" w:right="1588" w:gutter="0" w:header="0" w:top="1701" w:footer="0" w:bottom="1588"/>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variable"/>
  </w:font>
  <w:font w:name="宋体">
    <w:altName w:val="SimSun"/>
    <w:charset w:val="86"/>
    <w:family w:val="auto"/>
    <w:pitch w:val="variable"/>
  </w:font>
  <w:font w:name="Liberation Sans">
    <w:altName w:val="Arial"/>
    <w:charset w:val="01"/>
    <w:family w:val="swiss"/>
    <w:pitch w:val="variable"/>
  </w:font>
  <w:font w:name="仿宋_GB2312">
    <w:altName w:val="仿宋"/>
    <w:charset w:val="86"/>
    <w:family w:val="modern"/>
    <w:pitch w:val="default"/>
  </w:font>
  <w:font w:name="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cs="Calibri Light"/>
      <w:b/>
      <w:bCs/>
      <w:sz w:val="32"/>
      <w:szCs w:val="32"/>
    </w:rPr>
  </w:style>
  <w:style w:type="character" w:styleId="Style13">
    <w:name w:val="默认段落字体"/>
    <w:qFormat/>
    <w:rPr/>
  </w:style>
  <w:style w:type="character" w:styleId="Style14">
    <w:name w:val="批注引用"/>
    <w:qFormat/>
    <w:rPr>
      <w:sz w:val="21"/>
      <w:szCs w:val="21"/>
    </w:rPr>
  </w:style>
  <w:style w:type="character" w:styleId="Char">
    <w:name w:val="尾注文本 Char"/>
    <w:qFormat/>
    <w:rPr>
      <w:kern w:val="2"/>
      <w:sz w:val="21"/>
      <w:szCs w:val="24"/>
    </w:rPr>
  </w:style>
  <w:style w:type="character" w:styleId="EndnoteCharacters">
    <w:name w:val="Endnote Characters"/>
    <w:qFormat/>
    <w:rPr>
      <w:vertAlign w:val="superscript"/>
    </w:rPr>
  </w:style>
  <w:style w:type="character" w:styleId="PageNumber">
    <w:name w:val="Page Number"/>
    <w:basedOn w:val="Style13"/>
    <w:rPr/>
  </w:style>
  <w:style w:type="character" w:styleId="Char1">
    <w:name w:val="批注框文本 Char"/>
    <w:qFormat/>
    <w:rPr>
      <w:kern w:val="2"/>
      <w:sz w:val="18"/>
      <w:szCs w:val="18"/>
    </w:rPr>
  </w:style>
  <w:style w:type="character" w:styleId="2Char">
    <w:name w:val="标题 2 Char"/>
    <w:qFormat/>
    <w:rPr>
      <w:rFonts w:ascii="Calibri Light" w:hAnsi="Calibri Light" w:eastAsia="宋体;SimSun" w:cs="Times New Roman"/>
      <w:b/>
      <w:bCs/>
      <w:kern w:val="2"/>
      <w:sz w:val="32"/>
      <w:szCs w:val="32"/>
    </w:rPr>
  </w:style>
  <w:style w:type="character" w:styleId="Char2">
    <w:name w:val="文档结构图 Char"/>
    <w:qFormat/>
    <w:rPr>
      <w:rFonts w:ascii="宋体;SimSun" w:hAnsi="宋体;SimSun"/>
      <w:kern w:val="2"/>
      <w:sz w:val="18"/>
      <w:szCs w:val="18"/>
    </w:rPr>
  </w:style>
  <w:style w:type="character" w:styleId="Char3">
    <w:name w:val="批注主题 Char"/>
    <w:qFormat/>
    <w:rPr>
      <w:b/>
      <w:bCs/>
      <w:kern w:val="2"/>
      <w:sz w:val="21"/>
      <w:szCs w:val="24"/>
    </w:rPr>
  </w:style>
  <w:style w:type="character" w:styleId="Char4">
    <w:name w:val="页脚 Char"/>
    <w:qFormat/>
    <w:rPr>
      <w:kern w:val="2"/>
      <w:sz w:val="18"/>
      <w:szCs w:val="18"/>
    </w:rPr>
  </w:style>
  <w:style w:type="character" w:styleId="Char5">
    <w:name w:val="批注文字 Char"/>
    <w:qFormat/>
    <w:rPr>
      <w:kern w:val="2"/>
      <w:sz w:val="21"/>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文字"/>
    <w:basedOn w:val="Normal"/>
    <w:qFormat/>
    <w:pPr>
      <w:jc w:val="left"/>
    </w:pPr>
    <w:rPr/>
  </w:style>
  <w:style w:type="paragraph" w:styleId="Style16">
    <w:name w:val="批注主题"/>
    <w:basedOn w:val="Style15"/>
    <w:next w:val="Style15"/>
    <w:qFormat/>
    <w:pPr/>
    <w:rPr>
      <w:b/>
      <w:bC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批注框文本"/>
    <w:basedOn w:val="Normal"/>
    <w:qFormat/>
    <w:pPr/>
    <w:rPr>
      <w:sz w:val="18"/>
      <w:szCs w:val="18"/>
    </w:rPr>
  </w:style>
  <w:style w:type="paragraph" w:styleId="EndnoteText">
    <w:name w:val="Endnote Text"/>
    <w:basedOn w:val="Normal"/>
    <w:pPr>
      <w:snapToGrid w:val="false"/>
      <w:jc w:val="left"/>
    </w:pPr>
    <w:rPr/>
  </w:style>
  <w:style w:type="paragraph" w:styleId="Style18">
    <w:name w:val="文档结构图"/>
    <w:basedOn w:val="Normal"/>
    <w:qFormat/>
    <w:pPr/>
    <w:rPr>
      <w:rFonts w:ascii="宋体;SimSun" w:hAnsi="宋体;SimSun"/>
      <w:sz w:val="18"/>
      <w:szCs w:val="18"/>
    </w:rPr>
  </w:style>
  <w:style w:type="paragraph" w:styleId="Style19">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华文中宋"/>
      <w:sz w:val="28"/>
      <w:szCs w:val="28"/>
    </w:rPr>
  </w:style>
  <w:style w:type="paragraph" w:styleId="Style20">
    <w:name w:val="修订"/>
    <w:qFormat/>
    <w:pPr>
      <w:widowControl/>
      <w:bidi w:val="0"/>
    </w:pPr>
    <w:rPr>
      <w:rFonts w:ascii="Times New Roman" w:hAnsi="Times New Roman" w:eastAsia="宋体;SimSun" w:cs="Times New Roman"/>
      <w:color w:val="auto"/>
      <w:kern w:val="2"/>
      <w:sz w:val="21"/>
      <w:szCs w:val="24"/>
      <w:lang w:val="en-US" w:eastAsia="zh-CN"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2014-06-04T09:18:00Z</dcterms:created>
  <dc:creator>张明华</dc:creator>
  <dc:description/>
  <cp:keywords/>
  <dc:language>zh-CN</dc:language>
  <cp:lastModifiedBy>方 盈</cp:lastModifiedBy>
  <cp:lastPrinted>2014-06-04T16:35:00Z</cp:lastPrinted>
  <dcterms:modified xsi:type="dcterms:W3CDTF">2020-01-08T20:37:00Z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