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pPr>
      <w:r>
        <w:rPr>
          <w:rFonts w:eastAsia="仿宋" w:cs="仿宋" w:ascii="仿宋" w:hAnsi="仿宋"/>
          <w:b/>
          <w:kern w:val="0"/>
          <w:sz w:val="28"/>
          <w:szCs w:val="28"/>
        </w:rPr>
        <w:t>××××</w:t>
      </w:r>
      <w:r>
        <w:rPr>
          <w:rFonts w:ascii="仿宋" w:hAnsi="仿宋" w:cs="仿宋" w:eastAsia="仿宋"/>
          <w:b/>
          <w:kern w:val="0"/>
          <w:sz w:val="28"/>
          <w:szCs w:val="28"/>
        </w:rPr>
        <w:t>银行股份有限公司</w:t>
      </w:r>
    </w:p>
    <w:p>
      <w:pPr>
        <w:pStyle w:val="Style20"/>
        <w:ind w:firstLine="539" w:right="0"/>
        <w:rPr>
          <w:rFonts w:ascii="仿宋" w:hAnsi="仿宋" w:eastAsia="仿宋" w:cs="宋体-PUA;Arial Unicode MS"/>
          <w:kern w:val="0"/>
        </w:rPr>
      </w:pPr>
      <w:r>
        <w:rPr>
          <w:rFonts w:ascii="仿宋" w:hAnsi="仿宋" w:cs="宋体-PUA;Arial Unicode MS" w:eastAsia="仿宋"/>
        </w:rPr>
        <w:t>银行间市场融资业务管理办法</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Normal"/>
        <w:spacing w:lineRule="auto" w:line="360"/>
        <w:ind w:firstLine="537" w:right="0"/>
        <w:rPr/>
      </w:pPr>
      <w:r>
        <w:rPr>
          <w:rFonts w:ascii="仿宋" w:hAnsi="仿宋" w:cs="仿宋" w:eastAsia="仿宋"/>
          <w:sz w:val="28"/>
          <w:szCs w:val="28"/>
        </w:rPr>
        <w:t>第一条  为规范</w:t>
      </w:r>
      <w:r>
        <w:rPr>
          <w:rFonts w:eastAsia="仿宋" w:cs="仿宋" w:ascii="仿宋" w:hAnsi="仿宋"/>
          <w:sz w:val="28"/>
          <w:szCs w:val="28"/>
        </w:rPr>
        <w:t>××××</w:t>
      </w:r>
      <w:r>
        <w:rPr>
          <w:rFonts w:ascii="仿宋" w:hAnsi="仿宋" w:cs="仿宋" w:eastAsia="仿宋"/>
          <w:sz w:val="28"/>
          <w:szCs w:val="28"/>
        </w:rPr>
        <w:t>银行股份有限公司（以下简称“本行”）在银行间市场的融资行为，完善内控办法，防范金融风险，根据《同业拆借管理办法》、《全国银行间债券市场债券交易管理办法》、《</w:t>
      </w:r>
      <w:r>
        <w:rPr>
          <w:rFonts w:eastAsia="仿宋" w:cs="仿宋" w:ascii="仿宋" w:hAnsi="仿宋"/>
          <w:sz w:val="28"/>
          <w:szCs w:val="28"/>
        </w:rPr>
        <w:t>××××</w:t>
      </w:r>
      <w:r>
        <w:rPr>
          <w:rFonts w:ascii="仿宋" w:hAnsi="仿宋" w:cs="仿宋" w:eastAsia="仿宋"/>
          <w:sz w:val="28"/>
          <w:szCs w:val="28"/>
        </w:rPr>
        <w:t>省农村信用社系统内资金调剂管理暂行办法》等相关规定，结合本行实际，特制定本办法。</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第二条  本办法所称银行间市场融资业务是指本行与全国银行间同业拆借市场的金融机构或与非市场交易成员的银行类机构之间的人民币资金融通业务。包括：同业拆借、系统内资金调剂、回购业务、存放同业、同业存放等。</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第三条  本行在银行间市场融资的基本原则是：在保证资金安全性、流动性的前提下，实现资金收益最大化。</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第二章  组织职责</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第四条  金融市场部负责拟定市场融资计划及银行间市场融资业务管理办法与流程，负责同业客户授信资料的收集上报及客户资信的调查和审查，在授权范围内从事银行间市场融资业务，负责相关业务资料的保管。</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第五条  授信评审部负责对非结算类存放同业业务交易对手的授信管理。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第六条  运营管理部负责制定银行间市场融资业务的会计核算程序，其下属清算中心具体负责业务的会计核算和账务处理。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第七条  合规管理部负责对银行间市场融资业务管理办法、业务操作流程以及相关合同条款的合规性、有效性审核</w:t>
      </w:r>
      <w:r>
        <w:rPr>
          <w:rFonts w:eastAsia="仿宋" w:cs="仿宋" w:ascii="仿宋" w:hAnsi="仿宋"/>
          <w:sz w:val="28"/>
          <w:szCs w:val="28"/>
        </w:rPr>
        <w:t>,</w:t>
      </w:r>
      <w:r>
        <w:rPr>
          <w:rFonts w:ascii="仿宋" w:hAnsi="仿宋" w:cs="仿宋" w:eastAsia="仿宋"/>
          <w:sz w:val="28"/>
          <w:szCs w:val="28"/>
        </w:rPr>
        <w:t>对新业务、新产品等制度办法的出台提供法律意见和合规建议。</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第八条  风险管理部负责对银行间市场融资业务风险定期进行识别、计量、监测，做出独立评估，出具风险审查报告。</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第九条  审计稽核部负责对银行间市场融资业务定期或不定期进行审计稽核和监督检查。</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第三章  同业拆借</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第十条  同业拆借是指经中国人民银行批准进入全国银行间同业拆借市场的金融机构之间通过全国统一的同业拆借网络进行的无担保资金融通行为。同业拆借包括：同业拆入和同业拆出。</w:t>
      </w:r>
    </w:p>
    <w:p>
      <w:pPr>
        <w:pStyle w:val="Normal"/>
        <w:spacing w:lineRule="auto" w:line="360"/>
        <w:ind w:firstLine="537" w:right="0"/>
        <w:rPr/>
      </w:pPr>
      <w:r>
        <w:rPr>
          <w:rFonts w:ascii="仿宋" w:hAnsi="仿宋" w:cs="仿宋" w:eastAsia="仿宋"/>
          <w:sz w:val="28"/>
          <w:szCs w:val="28"/>
        </w:rPr>
        <w:t>第十一条  同业拆借交易以询价方式进行，自主谈判，逐笔成交。同业拆借利率由交易双方参考</w:t>
      </w:r>
      <w:r>
        <w:rPr>
          <w:rFonts w:ascii="仿宋" w:hAnsi="仿宋" w:cs="仿宋" w:eastAsia="仿宋"/>
          <w:color w:val="000000"/>
          <w:sz w:val="28"/>
          <w:szCs w:val="28"/>
        </w:rPr>
        <w:t>当日同期限</w:t>
      </w:r>
      <w:r>
        <w:rPr>
          <w:rFonts w:eastAsia="仿宋" w:cs="仿宋" w:ascii="仿宋" w:hAnsi="仿宋"/>
          <w:color w:val="000000"/>
          <w:sz w:val="28"/>
          <w:szCs w:val="28"/>
        </w:rPr>
        <w:t>SHIBOR</w:t>
      </w:r>
      <w:r>
        <w:rPr>
          <w:rFonts w:ascii="仿宋" w:hAnsi="仿宋" w:cs="仿宋" w:eastAsia="仿宋"/>
          <w:color w:val="000000"/>
          <w:sz w:val="28"/>
          <w:szCs w:val="28"/>
        </w:rPr>
        <w:t>利率结合市场</w:t>
      </w:r>
      <w:r>
        <w:rPr>
          <w:rFonts w:ascii="仿宋" w:hAnsi="仿宋" w:cs="仿宋" w:eastAsia="仿宋"/>
          <w:sz w:val="28"/>
          <w:szCs w:val="28"/>
        </w:rPr>
        <w:t>自行商定。</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第十二条  同业拆借交易应逐笔订立交易合同。交易合同的内容应当具体明确，详细约定同业拆借双方的权利和义务。合同应包括以下内容：</w:t>
      </w:r>
    </w:p>
    <w:p>
      <w:pPr>
        <w:pStyle w:val="Normal"/>
        <w:spacing w:lineRule="auto" w:line="360"/>
        <w:ind w:firstLine="537" w:right="0"/>
        <w:rPr/>
      </w:pPr>
      <w:r>
        <w:rPr>
          <w:rFonts w:ascii="仿宋" w:hAnsi="仿宋" w:cs="仿宋_GB2312;仿宋" w:eastAsia="仿宋"/>
          <w:sz w:val="28"/>
          <w:szCs w:val="28"/>
        </w:rPr>
        <w:t>㈠</w:t>
      </w:r>
      <w:r>
        <w:rPr>
          <w:rFonts w:ascii="仿宋" w:hAnsi="仿宋" w:cs="仿宋" w:eastAsia="仿宋"/>
          <w:sz w:val="28"/>
          <w:szCs w:val="28"/>
        </w:rPr>
        <w:t>交易双方的名称、住所以及法定代表人的姓名；</w:t>
      </w:r>
    </w:p>
    <w:p>
      <w:pPr>
        <w:pStyle w:val="Normal"/>
        <w:spacing w:lineRule="auto" w:line="360"/>
        <w:ind w:firstLine="537" w:right="0"/>
        <w:rPr/>
      </w:pPr>
      <w:r>
        <w:rPr>
          <w:rFonts w:ascii="仿宋" w:hAnsi="仿宋" w:cs="仿宋_GB2312;仿宋" w:eastAsia="仿宋"/>
          <w:sz w:val="28"/>
          <w:szCs w:val="28"/>
        </w:rPr>
        <w:t>㈡</w:t>
      </w:r>
      <w:r>
        <w:rPr>
          <w:rFonts w:ascii="仿宋" w:hAnsi="仿宋" w:cs="仿宋" w:eastAsia="仿宋"/>
          <w:sz w:val="28"/>
          <w:szCs w:val="28"/>
        </w:rPr>
        <w:t>成交日期；</w:t>
      </w:r>
    </w:p>
    <w:p>
      <w:pPr>
        <w:pStyle w:val="Normal"/>
        <w:spacing w:lineRule="auto" w:line="360"/>
        <w:ind w:firstLine="537" w:right="0"/>
        <w:rPr/>
      </w:pPr>
      <w:r>
        <w:rPr>
          <w:rFonts w:ascii="仿宋" w:hAnsi="仿宋" w:cs="仿宋_GB2312;仿宋" w:eastAsia="仿宋"/>
          <w:sz w:val="28"/>
          <w:szCs w:val="28"/>
        </w:rPr>
        <w:t>㈢交易</w:t>
      </w:r>
      <w:r>
        <w:rPr>
          <w:rFonts w:ascii="仿宋" w:hAnsi="仿宋" w:cs="仿宋" w:eastAsia="仿宋"/>
          <w:sz w:val="28"/>
          <w:szCs w:val="28"/>
        </w:rPr>
        <w:t>金额；</w:t>
      </w:r>
    </w:p>
    <w:p>
      <w:pPr>
        <w:pStyle w:val="Normal"/>
        <w:spacing w:lineRule="auto" w:line="360"/>
        <w:ind w:firstLine="537" w:right="0"/>
        <w:rPr/>
      </w:pPr>
      <w:r>
        <w:rPr>
          <w:rFonts w:ascii="仿宋" w:hAnsi="仿宋" w:cs="仿宋_GB2312;仿宋" w:eastAsia="仿宋"/>
          <w:sz w:val="28"/>
          <w:szCs w:val="28"/>
        </w:rPr>
        <w:t>㈣交易</w:t>
      </w:r>
      <w:r>
        <w:rPr>
          <w:rFonts w:ascii="仿宋" w:hAnsi="仿宋" w:cs="仿宋" w:eastAsia="仿宋"/>
          <w:sz w:val="28"/>
          <w:szCs w:val="28"/>
        </w:rPr>
        <w:t>期限；</w:t>
      </w:r>
    </w:p>
    <w:p>
      <w:pPr>
        <w:pStyle w:val="Normal"/>
        <w:spacing w:lineRule="auto" w:line="360"/>
        <w:ind w:firstLine="537" w:right="0"/>
        <w:rPr/>
      </w:pPr>
      <w:r>
        <w:rPr>
          <w:rFonts w:ascii="仿宋" w:hAnsi="仿宋" w:cs="仿宋_GB2312;仿宋" w:eastAsia="仿宋"/>
          <w:sz w:val="28"/>
          <w:szCs w:val="28"/>
        </w:rPr>
        <w:t>㈤同业拆借</w:t>
      </w:r>
      <w:r>
        <w:rPr>
          <w:rFonts w:ascii="仿宋" w:hAnsi="仿宋" w:cs="仿宋" w:eastAsia="仿宋"/>
          <w:sz w:val="28"/>
          <w:szCs w:val="28"/>
        </w:rPr>
        <w:t>利率、利率计算规则和利息支付规则；</w:t>
      </w:r>
    </w:p>
    <w:p>
      <w:pPr>
        <w:pStyle w:val="Normal"/>
        <w:spacing w:lineRule="auto" w:line="360"/>
        <w:ind w:firstLine="537" w:right="0"/>
        <w:rPr/>
      </w:pPr>
      <w:r>
        <w:rPr>
          <w:rFonts w:ascii="仿宋" w:hAnsi="仿宋" w:cs="仿宋_GB2312;仿宋" w:eastAsia="仿宋"/>
          <w:sz w:val="28"/>
          <w:szCs w:val="28"/>
        </w:rPr>
        <w:t>㈥</w:t>
      </w:r>
      <w:r>
        <w:rPr>
          <w:rFonts w:ascii="仿宋" w:hAnsi="仿宋" w:cs="仿宋" w:eastAsia="仿宋"/>
          <w:sz w:val="28"/>
          <w:szCs w:val="28"/>
        </w:rPr>
        <w:t>违约责任；</w:t>
      </w:r>
    </w:p>
    <w:p>
      <w:pPr>
        <w:pStyle w:val="Normal"/>
        <w:spacing w:lineRule="auto" w:line="360"/>
        <w:ind w:firstLine="537" w:right="0"/>
        <w:rPr/>
      </w:pPr>
      <w:r>
        <w:rPr>
          <w:rFonts w:ascii="仿宋" w:hAnsi="仿宋" w:cs="仿宋_GB2312;仿宋" w:eastAsia="仿宋"/>
          <w:sz w:val="28"/>
          <w:szCs w:val="28"/>
        </w:rPr>
        <w:t>㈦中国人民银行要求载明的其他相关事项</w:t>
      </w:r>
      <w:r>
        <w:rPr>
          <w:rFonts w:ascii="仿宋" w:hAnsi="仿宋" w:cs="仿宋" w:eastAsia="仿宋"/>
          <w:sz w:val="28"/>
          <w:szCs w:val="28"/>
        </w:rPr>
        <w:t>。</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第十三条  交易合同可采用全国银行间同业拆借中心电子交易系统生成的成交单，或者采取合同书、协议等书面形式。</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第十四条  同业拆借实行限额管理，最高拆入限额和最高拆出限额均不超过本行各项存款余额的</w:t>
      </w:r>
      <w:r>
        <w:rPr>
          <w:rFonts w:eastAsia="仿宋" w:cs="仿宋" w:ascii="仿宋" w:hAnsi="仿宋"/>
          <w:sz w:val="28"/>
          <w:szCs w:val="28"/>
        </w:rPr>
        <w:t>8%</w:t>
      </w:r>
      <w:r>
        <w:rPr>
          <w:rFonts w:ascii="仿宋" w:hAnsi="仿宋" w:cs="仿宋" w:eastAsia="仿宋"/>
          <w:sz w:val="28"/>
          <w:szCs w:val="28"/>
        </w:rPr>
        <w:t>。</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中国人民银行可以根据市场发展和管理的需要调整金融机构的同业拆借资金限额。</w:t>
      </w:r>
    </w:p>
    <w:p>
      <w:pPr>
        <w:pStyle w:val="Normal"/>
        <w:numPr>
          <w:ilvl w:val="0"/>
          <w:numId w:val="2"/>
        </w:numPr>
        <w:spacing w:lineRule="auto" w:line="360"/>
        <w:ind w:firstLine="537" w:left="0" w:right="0"/>
        <w:rPr>
          <w:rFonts w:ascii="仿宋" w:hAnsi="仿宋" w:eastAsia="仿宋" w:cs="仿宋"/>
          <w:sz w:val="28"/>
          <w:szCs w:val="28"/>
        </w:rPr>
      </w:pPr>
      <w:r>
        <w:rPr>
          <w:rFonts w:ascii="仿宋" w:hAnsi="仿宋" w:cs="仿宋" w:eastAsia="仿宋"/>
          <w:sz w:val="28"/>
          <w:szCs w:val="28"/>
        </w:rPr>
        <w:t xml:space="preserve">  </w:t>
      </w:r>
      <w:r>
        <w:rPr>
          <w:rFonts w:ascii="仿宋" w:hAnsi="仿宋" w:cs="仿宋" w:eastAsia="仿宋"/>
          <w:sz w:val="28"/>
          <w:szCs w:val="28"/>
        </w:rPr>
        <w:t>同业</w:t>
      </w:r>
      <w:r>
        <w:rPr>
          <w:rFonts w:ascii="仿宋" w:hAnsi="仿宋" w:cs="仿宋" w:eastAsia="仿宋"/>
          <w:color w:val="000000"/>
          <w:sz w:val="28"/>
          <w:szCs w:val="28"/>
        </w:rPr>
        <w:t>拆入资金的最长期限为</w:t>
      </w:r>
      <w:r>
        <w:rPr>
          <w:rFonts w:eastAsia="仿宋" w:cs="仿宋" w:ascii="仿宋" w:hAnsi="仿宋"/>
          <w:color w:val="000000"/>
          <w:sz w:val="28"/>
          <w:szCs w:val="28"/>
        </w:rPr>
        <w:t>1</w:t>
      </w:r>
      <w:r>
        <w:rPr>
          <w:rFonts w:ascii="仿宋" w:hAnsi="仿宋" w:cs="仿宋" w:eastAsia="仿宋"/>
          <w:color w:val="000000"/>
          <w:sz w:val="28"/>
          <w:szCs w:val="28"/>
        </w:rPr>
        <w:t>年</w:t>
      </w:r>
      <w:r>
        <w:rPr>
          <w:rFonts w:ascii="仿宋" w:hAnsi="仿宋" w:cs="仿宋" w:eastAsia="仿宋"/>
          <w:sz w:val="28"/>
          <w:szCs w:val="28"/>
        </w:rPr>
        <w:t>，同业拆借的期限最短为</w:t>
      </w:r>
      <w:r>
        <w:rPr>
          <w:rFonts w:eastAsia="仿宋" w:cs="仿宋" w:ascii="仿宋" w:hAnsi="仿宋"/>
          <w:sz w:val="28"/>
          <w:szCs w:val="28"/>
        </w:rPr>
        <w:t>1</w:t>
      </w:r>
      <w:r>
        <w:rPr>
          <w:rFonts w:ascii="仿宋" w:hAnsi="仿宋" w:cs="仿宋" w:eastAsia="仿宋"/>
          <w:sz w:val="28"/>
          <w:szCs w:val="28"/>
        </w:rPr>
        <w:t>天，拆出资金的最长期限不得超过对手方由中国人民银行规定的拆入资金最长期限。</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中国人民银行可以根据市场发展和管理的需要调整金融机构的拆借资金最长期限。</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第十六条  同业拆借到期后不得展期。</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第十七条  拆出对手方仅限于在本行有授信的存款类金融机构，不得向证券公司、基金公司、保险公司、信托公司、财务公司等非银行类金融机构拆出资金。拆入对手方不受本行授信的限制，但必须符合人民银行的规定。</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第四章  资金调剂</w:t>
      </w:r>
    </w:p>
    <w:p>
      <w:pPr>
        <w:pStyle w:val="Normal"/>
        <w:spacing w:lineRule="auto" w:line="360"/>
        <w:ind w:firstLine="537" w:right="0"/>
        <w:rPr/>
      </w:pPr>
      <w:r>
        <w:rPr>
          <w:rFonts w:ascii="仿宋" w:hAnsi="仿宋" w:cs="仿宋" w:eastAsia="仿宋"/>
          <w:sz w:val="28"/>
          <w:szCs w:val="28"/>
        </w:rPr>
        <w:t>第十八条  本办法所称资金调剂是系统内资金调剂，是指本行与</w:t>
      </w:r>
      <w:r>
        <w:rPr>
          <w:rFonts w:eastAsia="仿宋" w:cs="仿宋" w:ascii="仿宋" w:hAnsi="仿宋"/>
          <w:sz w:val="28"/>
          <w:szCs w:val="28"/>
        </w:rPr>
        <w:t>××××</w:t>
      </w:r>
      <w:r>
        <w:rPr>
          <w:rFonts w:ascii="仿宋" w:hAnsi="仿宋" w:cs="仿宋" w:eastAsia="仿宋"/>
          <w:sz w:val="28"/>
          <w:szCs w:val="28"/>
        </w:rPr>
        <w:t>省农村信用社联合社（以下简称省联社）之间非交易系统的资金融通，包括：调入调剂和调出调剂。</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第十九条  资金调剂以询价方式进行，自主谈判，逐笔成交。资金调剂利率由交易双方参考全国银行间债券市场的（同业拆借）同档次利率自行商定。</w:t>
      </w:r>
    </w:p>
    <w:p>
      <w:pPr>
        <w:pStyle w:val="Normal"/>
        <w:spacing w:lineRule="auto" w:line="360"/>
        <w:ind w:firstLine="537" w:right="0"/>
        <w:rPr/>
      </w:pPr>
      <w:r>
        <w:rPr>
          <w:rFonts w:ascii="仿宋" w:hAnsi="仿宋" w:cs="仿宋" w:eastAsia="仿宋"/>
          <w:sz w:val="28"/>
          <w:szCs w:val="28"/>
        </w:rPr>
        <w:t>第二十条  资金调剂应签订《</w:t>
      </w:r>
      <w:r>
        <w:rPr>
          <w:rFonts w:eastAsia="仿宋" w:cs="仿宋" w:ascii="仿宋" w:hAnsi="仿宋"/>
          <w:sz w:val="28"/>
          <w:szCs w:val="28"/>
        </w:rPr>
        <w:t>××××</w:t>
      </w:r>
      <w:r>
        <w:rPr>
          <w:rFonts w:ascii="仿宋" w:hAnsi="仿宋" w:cs="仿宋" w:eastAsia="仿宋"/>
          <w:sz w:val="28"/>
          <w:szCs w:val="28"/>
        </w:rPr>
        <w:t>省农村信用社资金调剂业务协议》，协议应明确资金调剂方向、金额、利率、期限、违约责任等内容。</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第二十一条  资金调剂期限最短为</w:t>
      </w:r>
      <w:r>
        <w:rPr>
          <w:rFonts w:eastAsia="仿宋" w:cs="仿宋" w:ascii="仿宋" w:hAnsi="仿宋"/>
          <w:sz w:val="28"/>
          <w:szCs w:val="28"/>
        </w:rPr>
        <w:t>1</w:t>
      </w:r>
      <w:r>
        <w:rPr>
          <w:rFonts w:ascii="仿宋" w:hAnsi="仿宋" w:cs="仿宋" w:eastAsia="仿宋"/>
          <w:sz w:val="28"/>
          <w:szCs w:val="28"/>
        </w:rPr>
        <w:t>天，最长为</w:t>
      </w:r>
      <w:r>
        <w:rPr>
          <w:rFonts w:eastAsia="仿宋" w:cs="仿宋" w:ascii="仿宋" w:hAnsi="仿宋"/>
          <w:sz w:val="28"/>
          <w:szCs w:val="28"/>
        </w:rPr>
        <w:t>1</w:t>
      </w:r>
      <w:r>
        <w:rPr>
          <w:rFonts w:ascii="仿宋" w:hAnsi="仿宋" w:cs="仿宋" w:eastAsia="仿宋"/>
          <w:sz w:val="28"/>
          <w:szCs w:val="28"/>
        </w:rPr>
        <w:t>年。调出、调入资金必须严格按照约定的期限进行管理。特殊情况需提前收回调出资金，须提前</w:t>
      </w:r>
      <w:r>
        <w:rPr>
          <w:rFonts w:eastAsia="仿宋" w:cs="仿宋" w:ascii="仿宋" w:hAnsi="仿宋"/>
          <w:sz w:val="28"/>
          <w:szCs w:val="28"/>
        </w:rPr>
        <w:t>2</w:t>
      </w:r>
      <w:r>
        <w:rPr>
          <w:rFonts w:ascii="仿宋" w:hAnsi="仿宋" w:cs="仿宋" w:eastAsia="仿宋"/>
          <w:sz w:val="28"/>
          <w:szCs w:val="28"/>
        </w:rPr>
        <w:t>天通知对方，并经双方协商同意后方可办理资金汇划手续。</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第二十二条  调入资金不得用于发放农户贷款以外的其他贷款，不得用于债券投资，严禁用调剂资金发放中长期贷款、固定资产贷款和技术改造贷款。</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第二十三条  申请调剂资金的机构必须满足以下条件：</w:t>
      </w:r>
    </w:p>
    <w:p>
      <w:pPr>
        <w:pStyle w:val="Normal"/>
        <w:spacing w:lineRule="auto" w:line="360"/>
        <w:ind w:firstLine="537" w:right="0"/>
        <w:rPr>
          <w:rFonts w:ascii="仿宋" w:hAnsi="仿宋" w:eastAsia="仿宋" w:cs="仿宋_GB2312;仿宋"/>
          <w:sz w:val="28"/>
          <w:szCs w:val="28"/>
        </w:rPr>
      </w:pPr>
      <w:r>
        <w:rPr>
          <w:rFonts w:ascii="仿宋" w:hAnsi="仿宋" w:cs="仿宋_GB2312;仿宋" w:eastAsia="仿宋"/>
          <w:sz w:val="28"/>
          <w:szCs w:val="28"/>
        </w:rPr>
        <w:t>㈠及时足额缴足存款准备金。</w:t>
      </w:r>
    </w:p>
    <w:p>
      <w:pPr>
        <w:pStyle w:val="Normal"/>
        <w:spacing w:lineRule="auto" w:line="360"/>
        <w:ind w:firstLine="537" w:right="0"/>
        <w:rPr>
          <w:rFonts w:ascii="仿宋" w:hAnsi="仿宋" w:eastAsia="仿宋" w:cs="仿宋_GB2312;仿宋"/>
          <w:sz w:val="28"/>
          <w:szCs w:val="28"/>
        </w:rPr>
      </w:pPr>
      <w:r>
        <w:rPr>
          <w:rFonts w:ascii="仿宋" w:hAnsi="仿宋" w:cs="仿宋_GB2312;仿宋" w:eastAsia="仿宋"/>
          <w:sz w:val="28"/>
          <w:szCs w:val="28"/>
        </w:rPr>
        <w:t>㈡拆入资金余额与本行各项存款余额比例不得高于</w:t>
      </w:r>
      <w:r>
        <w:rPr>
          <w:rFonts w:eastAsia="仿宋" w:cs="仿宋_GB2312;仿宋" w:ascii="仿宋" w:hAnsi="仿宋"/>
          <w:sz w:val="28"/>
          <w:szCs w:val="28"/>
        </w:rPr>
        <w:t>4%</w:t>
      </w:r>
      <w:r>
        <w:rPr>
          <w:rFonts w:ascii="仿宋" w:hAnsi="仿宋" w:cs="仿宋_GB2312;仿宋" w:eastAsia="仿宋"/>
          <w:sz w:val="28"/>
          <w:szCs w:val="28"/>
        </w:rPr>
        <w:t>。、</w:t>
      </w:r>
    </w:p>
    <w:p>
      <w:pPr>
        <w:pStyle w:val="Normal"/>
        <w:spacing w:lineRule="auto" w:line="360" w:before="156" w:after="0"/>
        <w:ind w:left="200" w:right="0"/>
        <w:jc w:val="center"/>
        <w:rPr/>
      </w:pPr>
      <w:r>
        <w:rPr>
          <w:rFonts w:ascii="仿宋" w:hAnsi="仿宋" w:cs="黑体;SimHei" w:eastAsia="仿宋"/>
          <w:b/>
          <w:sz w:val="28"/>
          <w:szCs w:val="28"/>
        </w:rPr>
        <w:t>第五章  回购业务</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第二十四条  本办法所称回购业务包括债券回购和票据回购。</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债券回购是指交易双方进行的以债券权利为抵质押品的一种资金融通业务。债券回购分为债券质押式回购和债券买断式回购。</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票据回购是指本行对金融同业所持已贴现的商业汇票（银行承兑汇票和商业承兑汇票）进行买入返售，或本行所持已贴现商业汇票向金融同业申请卖出回购的融资行为。票据回购分为商业汇票买入返售和商业汇票卖出回购。</w:t>
      </w:r>
    </w:p>
    <w:p>
      <w:pPr>
        <w:pStyle w:val="Normal"/>
        <w:spacing w:lineRule="auto" w:line="360"/>
        <w:ind w:firstLine="537" w:right="0"/>
        <w:rPr/>
      </w:pPr>
      <w:r>
        <w:rPr>
          <w:rFonts w:ascii="仿宋" w:hAnsi="仿宋" w:cs="仿宋" w:eastAsia="仿宋"/>
          <w:sz w:val="28"/>
          <w:szCs w:val="28"/>
        </w:rPr>
        <w:t>第二十五条  债券回购业务按照《</w:t>
      </w:r>
      <w:r>
        <w:rPr>
          <w:rFonts w:eastAsia="仿宋" w:cs="仿宋" w:ascii="仿宋" w:hAnsi="仿宋"/>
          <w:sz w:val="28"/>
          <w:szCs w:val="28"/>
        </w:rPr>
        <w:t>××××</w:t>
      </w:r>
      <w:r>
        <w:rPr>
          <w:rFonts w:ascii="仿宋" w:hAnsi="仿宋" w:cs="仿宋" w:eastAsia="仿宋"/>
          <w:sz w:val="28"/>
          <w:szCs w:val="28"/>
        </w:rPr>
        <w:t>银行股份有限公司债券投资业务管理办法》相关规定办理。</w:t>
      </w:r>
    </w:p>
    <w:p>
      <w:pPr>
        <w:pStyle w:val="Normal"/>
        <w:spacing w:lineRule="auto" w:line="360"/>
        <w:ind w:firstLine="537" w:right="0"/>
        <w:rPr/>
      </w:pPr>
      <w:r>
        <w:rPr>
          <w:rFonts w:ascii="仿宋" w:hAnsi="仿宋" w:cs="仿宋" w:eastAsia="仿宋"/>
          <w:sz w:val="28"/>
          <w:szCs w:val="28"/>
        </w:rPr>
        <w:t>第二十六条  商业汇票买入返售业务除按照《</w:t>
      </w:r>
      <w:r>
        <w:rPr>
          <w:rFonts w:eastAsia="仿宋" w:cs="仿宋" w:ascii="仿宋" w:hAnsi="仿宋"/>
          <w:sz w:val="28"/>
          <w:szCs w:val="28"/>
        </w:rPr>
        <w:t>××××</w:t>
      </w:r>
      <w:r>
        <w:rPr>
          <w:rFonts w:ascii="仿宋" w:hAnsi="仿宋" w:cs="仿宋" w:eastAsia="仿宋"/>
          <w:sz w:val="28"/>
          <w:szCs w:val="28"/>
        </w:rPr>
        <w:t>银行股份有限公司商业汇票转贴现和再贴现业务管理办法》相关规定办理外，还须遵守以下规定：</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（一）卖出回购银行应提供商业汇票原件以及正反面复印件；商业汇票查询查复书原件或复印件；第一手贴现凭证和最后一手转贴现凭证。</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（二）买入返售业务的到期日控制在商业汇票到期日前</w:t>
      </w:r>
      <w:r>
        <w:rPr>
          <w:rFonts w:eastAsia="仿宋" w:cs="仿宋" w:ascii="仿宋" w:hAnsi="仿宋"/>
          <w:sz w:val="28"/>
          <w:szCs w:val="28"/>
        </w:rPr>
        <w:t>3</w:t>
      </w:r>
      <w:r>
        <w:rPr>
          <w:rFonts w:ascii="仿宋" w:hAnsi="仿宋" w:cs="仿宋" w:eastAsia="仿宋"/>
          <w:sz w:val="28"/>
          <w:szCs w:val="28"/>
        </w:rPr>
        <w:t>天。</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（三）第一次办理票据回购，卖出回购银行应提供营业执照和金融许可证复印件、经办人身份证和授权委托书等资料。</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第二十七条  票据回购业务的金额、利率、期限及票据种类等要素由交易双方根据票据市场行情协商确定。</w:t>
      </w:r>
    </w:p>
    <w:p>
      <w:pPr>
        <w:pStyle w:val="Normal"/>
        <w:spacing w:lineRule="auto" w:line="360"/>
        <w:ind w:firstLine="537" w:right="0"/>
        <w:rPr>
          <w:rFonts w:ascii="仿宋" w:hAnsi="仿宋" w:eastAsia="仿宋" w:cs="仿宋"/>
          <w:b/>
          <w:bCs/>
          <w:sz w:val="28"/>
          <w:szCs w:val="28"/>
        </w:rPr>
      </w:pPr>
      <w:r>
        <w:rPr>
          <w:rFonts w:ascii="仿宋" w:hAnsi="仿宋" w:cs="仿宋" w:eastAsia="仿宋"/>
          <w:sz w:val="28"/>
          <w:szCs w:val="28"/>
        </w:rPr>
        <w:t>第二十八条  票据回购应签订《商业汇票回购合同》。合同的内容应当具体明确，详细约定回购双方的权利和义务。合同应包含以下主要内容：回购双方的名称、回购日期、金额、期限、利率、利率计算和利息支付规则、违约责任等内容。</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第六章  存放款项</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第二十九条  本办法所称存放款项业务仅指存放同业和同业存放。</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存放同业是指本行存放在其他银行或银行类金融机构的存款，分结算类存放同业和非结算类存放同业。结算类存放同业主要用于日常支付结算，非结算类存放同业主要目的是实现固定收益。</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同业存放是指其他银行或银行类金融机构存放在本行的存款。</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第三十条  结算类存放同业由业务部门经办人根据日常支付结算资金需求进行头寸划拨。</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第三十一条  非结算类存放同业由业务部门根据对手方的信用状况、本行对其授信金额以及备付资金余额来确定，金额及利率由交易双方根据资金市场行情来确定，但利率不得低于人民银行超额存款准备金利率。</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第三十二条  非结算类存放同业应签订存放同业合作协议，协议应包含以下主要内容：双方的名称、起止日期、金额、期限、利率、结息方式、违约责任等内容。</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第三十三条  存放同业应坚持定期对账，做到内外账户核对相符，业务部门的台账与会计核算账户核对相符。</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第三十四条  同业存放相关管理规定参照存放同业相关规定执行。</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第七章  资金划付与清算</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第三十五条  金融市场部根据与交易对手达成的书面合同，填写《资金收、划款通知书》，经部门负责人审批后，交清算中心提请划款。</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第三十六条  清算中心根据金融市场部提交的书面合同、《资金收、划款通知书》，填制付款凭证，经审核无误后，办理划款手续。</w:t>
      </w:r>
    </w:p>
    <w:p>
      <w:pPr>
        <w:pStyle w:val="Normal"/>
        <w:spacing w:lineRule="auto" w:line="360"/>
        <w:ind w:firstLine="537" w:right="0"/>
        <w:rPr>
          <w:rFonts w:ascii="仿宋" w:hAnsi="仿宋" w:eastAsia="仿宋" w:cs="仿宋"/>
          <w:b/>
          <w:bCs/>
          <w:sz w:val="28"/>
          <w:szCs w:val="28"/>
        </w:rPr>
      </w:pPr>
      <w:r>
        <w:rPr>
          <w:rFonts w:ascii="仿宋" w:hAnsi="仿宋" w:cs="仿宋" w:eastAsia="仿宋"/>
          <w:sz w:val="28"/>
          <w:szCs w:val="28"/>
        </w:rPr>
        <w:t>第三十七条  清算中心及时向金融市场部反馈资金的划拨及到账情况。如资金清算网络发生故障，及时与相关部门联系，查明原因，排除故障。若对资金划拨和到账造成影响，及时将有关情况向运行管理部和金融市场部反馈。</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第八章  内部控制</w:t>
      </w:r>
    </w:p>
    <w:p>
      <w:pPr>
        <w:pStyle w:val="Normal"/>
        <w:spacing w:lineRule="auto" w:line="360"/>
        <w:ind w:firstLine="537" w:right="0"/>
        <w:rPr/>
      </w:pPr>
      <w:r>
        <w:rPr>
          <w:rFonts w:ascii="仿宋" w:hAnsi="仿宋" w:cs="仿宋" w:eastAsia="仿宋"/>
          <w:sz w:val="28"/>
          <w:szCs w:val="28"/>
        </w:rPr>
        <w:t>第三十八条  金融市场部应当实现逐级授权经营与管理，在权限范围内进行市场间资金融通业务，不得超权限办理。</w:t>
      </w:r>
    </w:p>
    <w:p>
      <w:pPr>
        <w:pStyle w:val="Normal"/>
        <w:spacing w:lineRule="auto" w:line="360"/>
        <w:ind w:firstLine="537" w:right="0"/>
        <w:rPr/>
      </w:pPr>
      <w:r>
        <w:rPr>
          <w:rFonts w:ascii="仿宋" w:hAnsi="仿宋" w:cs="仿宋" w:eastAsia="仿宋"/>
          <w:sz w:val="28"/>
          <w:szCs w:val="28"/>
        </w:rPr>
        <w:t>第三十九条  金融市场部应建立内部报告制度，定期向行长室和董事会汇报和分析资金流动性、收益和风险等情况，为管理层提供决策依据。</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第九章  附则</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第四十条  本办法由</w:t>
      </w:r>
      <w:r>
        <w:rPr>
          <w:rFonts w:eastAsia="仿宋" w:cs="仿宋" w:ascii="仿宋" w:hAnsi="仿宋"/>
          <w:sz w:val="28"/>
          <w:szCs w:val="28"/>
        </w:rPr>
        <w:t>××××</w:t>
      </w:r>
      <w:r>
        <w:rPr>
          <w:rFonts w:ascii="仿宋" w:hAnsi="仿宋" w:cs="仿宋" w:eastAsia="仿宋"/>
          <w:sz w:val="28"/>
          <w:szCs w:val="28"/>
        </w:rPr>
        <w:t>银行股份有限公司金融市场部负责解释和修订。</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第四十一条   本办法自公布之日起执行。</w:t>
      </w:r>
    </w:p>
    <w:p>
      <w:pPr>
        <w:pStyle w:val="BodyText"/>
        <w:overflowPunct w:val="false"/>
        <w:spacing w:lineRule="auto" w:line="360"/>
        <w:ind w:firstLine="537" w:right="0"/>
        <w:rPr>
          <w:rFonts w:ascii="仿宋" w:hAnsi="仿宋" w:eastAsia="仿宋" w:cs="仿宋"/>
          <w:sz w:val="28"/>
          <w:szCs w:val="28"/>
        </w:rPr>
      </w:pPr>
      <w:r>
        <w:rPr>
          <w:rFonts w:eastAsia="仿宋" w:cs="仿宋" w:ascii="仿宋" w:hAnsi="仿宋"/>
          <w:sz w:val="28"/>
          <w:szCs w:val="28"/>
        </w:rPr>
      </w:r>
    </w:p>
    <w:p>
      <w:pPr>
        <w:pStyle w:val="BodyText"/>
        <w:overflowPunct w:val="false"/>
        <w:spacing w:lineRule="auto" w:line="360"/>
        <w:ind w:firstLine="537" w:right="0"/>
        <w:rPr>
          <w:rFonts w:ascii="仿宋" w:hAnsi="仿宋" w:eastAsia="仿宋" w:cs="仿宋"/>
          <w:sz w:val="28"/>
          <w:szCs w:val="28"/>
        </w:rPr>
      </w:pPr>
      <w:r>
        <w:rPr>
          <w:rFonts w:eastAsia="仿宋" w:cs="仿宋" w:ascii="仿宋" w:hAnsi="仿宋"/>
          <w:sz w:val="28"/>
          <w:szCs w:val="28"/>
        </w:rPr>
      </w:r>
    </w:p>
    <w:p>
      <w:pPr>
        <w:pStyle w:val="BodyText"/>
        <w:overflowPunct w:val="false"/>
        <w:spacing w:lineRule="auto" w:line="360"/>
        <w:ind w:firstLine="537" w:right="0"/>
        <w:rPr>
          <w:rFonts w:ascii="仿宋" w:hAnsi="仿宋" w:eastAsia="仿宋" w:cs="仿宋"/>
          <w:sz w:val="28"/>
          <w:szCs w:val="28"/>
        </w:rPr>
      </w:pPr>
      <w:r>
        <w:rPr>
          <w:rFonts w:eastAsia="仿宋" w:cs="仿宋" w:ascii="仿宋" w:hAnsi="仿宋"/>
          <w:sz w:val="28"/>
          <w:szCs w:val="28"/>
        </w:rPr>
      </w:r>
    </w:p>
    <w:p>
      <w:pPr>
        <w:pStyle w:val="BodyText"/>
        <w:overflowPunct w:val="false"/>
        <w:spacing w:lineRule="auto" w:line="360"/>
        <w:ind w:firstLine="537" w:right="0"/>
        <w:rPr>
          <w:rFonts w:ascii="仿宋" w:hAnsi="仿宋" w:eastAsia="仿宋" w:cs="仿宋"/>
          <w:sz w:val="28"/>
          <w:szCs w:val="28"/>
        </w:rPr>
      </w:pPr>
      <w:r>
        <w:rPr>
          <w:rFonts w:eastAsia="仿宋" w:cs="仿宋" w:ascii="仿宋" w:hAnsi="仿宋"/>
          <w:sz w:val="28"/>
          <w:szCs w:val="28"/>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宋体">
    <w:altName w:val="SimSun"/>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Verdana">
    <w:charset w:val="00"/>
    <w:family w:val="swiss"/>
    <w:pitch w:val="variable"/>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0"/>
      <w:rPr>
        <w:rFonts w:ascii="宋体;SimSun" w:hAnsi="宋体;SimSun" w:cs="宋体;SimSun"/>
        <w:sz w:val="24"/>
        <w:szCs w:val="24"/>
      </w:rPr>
    </w:pPr>
    <w:r>
      <w:rPr>
        <w:rFonts w:cs="宋体;SimSun" w:ascii="宋体;SimSun" w:hAnsi="宋体;SimSu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5"/>
      <w:numFmt w:val="taiwaneseCountingThousand"/>
      <w:suff w:val="space"/>
      <w:lvlText w:val="第%1条"/>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PageNumber">
    <w:name w:val="Page Number"/>
    <w:basedOn w:val="Style12"/>
    <w:rPr/>
  </w:style>
  <w:style w:type="character" w:styleId="Style13">
    <w:name w:val="批注引用"/>
    <w:qFormat/>
    <w:rPr>
      <w:sz w:val="21"/>
      <w:szCs w:val="21"/>
    </w:rPr>
  </w:style>
  <w:style w:type="character" w:styleId="Char">
    <w:name w:val="纯文本 Char"/>
    <w:qFormat/>
    <w:rPr>
      <w:rFonts w:ascii="宋体;SimSun" w:hAnsi="宋体;SimSun" w:eastAsia="仿宋_GB2312;仿宋" w:cs="Courier New"/>
      <w:kern w:val="2"/>
      <w:sz w:val="32"/>
    </w:rPr>
  </w:style>
  <w:style w:type="character" w:styleId="Char1">
    <w:name w:val="批注文字 Char"/>
    <w:qFormat/>
    <w:rPr>
      <w:kern w:val="2"/>
      <w:sz w:val="21"/>
      <w:szCs w:val="24"/>
    </w:rPr>
  </w:style>
  <w:style w:type="character" w:styleId="Char2">
    <w:name w:val="批注主题 Char"/>
    <w:qFormat/>
    <w:rPr>
      <w:b/>
      <w:bCs/>
      <w:kern w:val="2"/>
      <w:sz w:val="21"/>
      <w:szCs w:val="24"/>
    </w:rPr>
  </w:style>
  <w:style w:type="character" w:styleId="2Char">
    <w:name w:val="标题 2 Char"/>
    <w:qFormat/>
    <w:rPr>
      <w:rFonts w:ascii="Cambria" w:hAnsi="Cambria"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left"/>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TOC2">
    <w:name w:val="TOC 2"/>
    <w:basedOn w:val="Normal"/>
    <w:next w:val="Normal"/>
    <w:pPr>
      <w:tabs>
        <w:tab w:val="clear" w:pos="420"/>
        <w:tab w:val="right" w:pos="8296" w:leader="dot"/>
      </w:tabs>
      <w:spacing w:lineRule="exact" w:line="400"/>
      <w:ind w:hanging="0" w:left="420" w:right="0"/>
    </w:pPr>
    <w:rPr>
      <w:rFonts w:ascii="宋体;SimSun" w:hAnsi="宋体;SimSun" w:cs="宋体;SimSun"/>
      <w:b/>
      <w:sz w:val="24"/>
      <w:lang w:val="zh-CN" w:eastAsia="zh-CN"/>
    </w:rPr>
  </w:style>
  <w:style w:type="paragraph" w:styleId="Style16">
    <w:name w:val="正文缩进"/>
    <w:basedOn w:val="Normal"/>
    <w:qFormat/>
    <w:pPr>
      <w:spacing w:lineRule="auto" w:line="360"/>
      <w:ind w:firstLine="420" w:left="0" w:right="0"/>
    </w:pPr>
    <w:rPr>
      <w:rFonts w:ascii="仿宋_GB2312;仿宋" w:hAnsi="仿宋_GB2312;仿宋" w:eastAsia="仿宋_GB2312;仿宋"/>
      <w:sz w:val="24"/>
      <w:szCs w:val="20"/>
    </w:rPr>
  </w:style>
  <w:style w:type="paragraph" w:styleId="Style17">
    <w:name w:val="纯文本"/>
    <w:basedOn w:val="Normal"/>
    <w:qFormat/>
    <w:pPr/>
    <w:rPr>
      <w:rFonts w:ascii="宋体;SimSun" w:hAnsi="宋体;SimSun" w:eastAsia="仿宋_GB2312;仿宋" w:cs="Courier New"/>
      <w:sz w:val="32"/>
      <w:szCs w:val="20"/>
    </w:rPr>
  </w:style>
  <w:style w:type="paragraph" w:styleId="BodyTextIndent">
    <w:name w:val="Body Text Indent"/>
    <w:basedOn w:val="Normal"/>
    <w:pPr>
      <w:spacing w:lineRule="atLeast" w:line="560"/>
      <w:ind w:firstLine="480" w:left="0" w:right="0"/>
    </w:pPr>
    <w:rPr>
      <w:rFonts w:ascii="宋体;SimSun" w:hAnsi="宋体;SimSun" w:cs="宋体;SimSun"/>
      <w:sz w:val="24"/>
      <w:szCs w:val="30"/>
    </w:rPr>
  </w:style>
  <w:style w:type="paragraph" w:styleId="Style18">
    <w:name w:val="日期"/>
    <w:basedOn w:val="Normal"/>
    <w:next w:val="Normal"/>
    <w:qFormat/>
    <w:pPr>
      <w:ind w:hanging="0" w:left="100" w:right="0"/>
    </w:pPr>
    <w:rPr/>
  </w:style>
  <w:style w:type="paragraph" w:styleId="Char3">
    <w:name w:val="Char"/>
    <w:basedOn w:val="Normal"/>
    <w:qFormat/>
    <w:pPr>
      <w:widowControl/>
      <w:spacing w:lineRule="exact" w:line="240" w:before="0" w:after="160"/>
      <w:jc w:val="left"/>
    </w:pPr>
    <w:rPr>
      <w:rFonts w:ascii="Verdana" w:hAnsi="Verdana" w:eastAsia="仿宋_GB2312;仿宋" w:cs="Verdana"/>
      <w:kern w:val="0"/>
      <w:sz w:val="20"/>
      <w:szCs w:val="20"/>
    </w:rPr>
  </w:style>
  <w:style w:type="paragraph" w:styleId="Style19">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0">
    <w:name w:val="二级标题"/>
    <w:basedOn w:val="Heading2"/>
    <w:next w:val="Normal"/>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2011-02-24T11:44:00Z</dcterms:created>
  <dc:creator/>
  <dc:description/>
  <cp:keywords/>
  <dc:language>zh-CN</dc:language>
  <cp:lastModifiedBy/>
  <cp:lastPrinted>2012-11-20T10:22:00Z</cp:lastPrinted>
  <dcterms:modified xsi:type="dcterms:W3CDTF">2020-01-08T20:48:00Z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