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Arial" w:cs="Arial" w:eastAsia="Arial" w:hAnsi="Arial"/>
          <w:b/>
          <w:bCs/>
          <w:color w:val="17324D"/>
          <w:sz w:val="40"/>
          <w:szCs w:val="40"/>
        </w:rPr>
        <w:t xml:space="preserve">TradingAgents Autonomy Catch-Up</w:t>
      </w:r>
    </w:p>
    <w:p>
      <w:pPr>
        <w:spacing w:after="180"/>
        <w:jc w:val="center"/>
      </w:pPr>
      <w:r>
        <w:rPr>
          <w:rFonts w:ascii="Arial" w:cs="Arial" w:eastAsia="Arial" w:hAnsi="Arial"/>
          <w:color w:val="2D6A8A"/>
          <w:sz w:val="25"/>
          <w:szCs w:val="25"/>
        </w:rPr>
        <w:t xml:space="preserve">Alpaca documentation expansion and regulatory correction</w:t>
      </w:r>
    </w:p>
    <w:p>
      <w:pPr>
        <w:spacing w:after="5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dated August 11, 2026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is a new revision. The July 26 DOCX and PDF remain preserved as historical artifacts.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surface</w:t>
            </w:r>
          </w:p>
        </w:tc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 of</w:t>
            </w:r>
          </w:p>
        </w:tc>
        <w:tc>
          <w:tcPr>
            <w:tcW w:type="dxa" w:w="46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result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Alpaca MCP documentation</w:t>
            </w:r>
          </w:p>
        </w:tc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2026-08-11</w:t>
            </w:r>
          </w:p>
        </w:tc>
        <w:tc>
          <w:tcPr>
            <w:tcW w:type="dxa" w:w="46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Server 2.2.1; five read-only documentation tools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Endpoint catalog</w:t>
            </w:r>
          </w:p>
        </w:tc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2026-08-11</w:t>
            </w:r>
          </w:p>
        </w:tc>
        <w:tc>
          <w:tcPr>
            <w:tcW w:type="dxa" w:w="46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 paths; 99 operations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Compact runtime context</w:t>
            </w:r>
          </w:p>
        </w:tc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2026-08-11T09:42:06.293574+00:00</w:t>
            </w:r>
          </w:p>
        </w:tc>
        <w:tc>
          <w:tcPr>
            <w:tcW w:type="dxa" w:w="46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drill-down flag(s); observer/fail-closed posture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Alpaca account connectivity</w:t>
            </w:r>
          </w:p>
        </w:tc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2026-08-11T09:42:00+00:00</w:t>
            </w:r>
          </w:p>
        </w:tc>
        <w:tc>
          <w:tcPr>
            <w:tcW w:type="dxa" w:w="46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Paper and live endpoints answered read-only checks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Alpaca's Trading MCP Server now exposes read-only documentation context to connected assistants. TradingAgents can use a complete, versioned endpoint catalog and a structurally GET-only client without expanding order or account-mutation authority.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The new tools inspect documentation; the broader Alpaca MCP server still includes mutation-capable trading tools.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The verified inventory is 83 paths and 99 operations: 77 GET and 22 non-GET.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All non-GET operations are cataloged for operator reference and rejected before network access by the new client.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The daily email receives only material feed/session/coverage warnings; complete route details remain in local JSON.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A prior June 4 PDT effective-date claim was unsupported and is corrected throughout current runtime guidance.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What Alpaca added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following five documentation tools are read-only and remain available independently of normal MCP toolset filtering: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search_alpaca_docs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fetch_alpaca_doc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search_alpaca_api_specs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list_alpaca_api_endpoints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get_alpaca_endpoint_docs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Primary upstream evidence: </w:t>
      </w:r>
      <w:hyperlink w:history="1" r:id="rId8wiirebq6kzrfvgtshsk-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Alpaca MCP repository</w:t>
        </w:r>
      </w:hyperlink>
      <w:r>
        <w:rPr>
          <w:rFonts w:ascii="Arial" w:cs="Arial" w:eastAsia="Arial" w:hAnsi="Arial"/>
          <w:sz w:val="20"/>
          <w:szCs w:val="20"/>
        </w:rPr>
        <w:t xml:space="preserve"> and </w:t>
      </w:r>
      <w:hyperlink w:history="1" r:id="rId-h1jtv7ojnffooyrhvfko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documentation-tool commit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Coverage and implementation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Operations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use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Trading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Read-only observer/reference routes; mutations documented only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 Data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Quotes, trades, bars, events, metadata, and on-demand families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Token POST documented only; never callable by reference client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treatment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Allowlisted read-only route ID required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Documented; not callable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Documented; not callable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Documented; not callable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16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5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Documented; not callable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complete 99-row operation matrix appears in the landscape appendix and in config/alpaca_api_reference_catalog.json.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Newly usable information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Explicit stock feeds: SIP, IEX, delayed SIP, BOATS, overnight, and OTC, subject to subscription. TradingAgents now records feed provenance.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Latest trades are filtered price context, not a complete tape, because some trade conditions do not update bar price.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Calendar data can preserve session_open, session_close, settlement_date, and TRADING versus SETTLEMENT date type.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Corporate actions and two event streams are available; streams remain disabled by default and are capped by time and event count.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Options, crypto, screeners, auctions, forex, fixed income, logos, wallets, locates, tokenization, and related families are available on demand rather than broadly polled.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Replace-order constraints and race behavior are retained as operator documentation only; no new replace/cancel/submit route was added.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Authority and safety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Boundary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Documentation search/inspection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Enabled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Read-only external text; treat as untrusted source material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Cataloged GET reference reads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Enabled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Stable route IDs only; analysis_only=true; execution_authority=none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SSE event reads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Opt-in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two allowlisted GET streams; hard timeout and event cap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Order/account mutations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new authority; existing deterministic broker gates remain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OAuth token POST</w:t>
            </w:r>
          </w:p>
        </w:tc>
        <w:tc>
          <w:tcPr>
            <w:tcW w:type="dxa" w:w="14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Disabled</w:t>
            </w:r>
          </w:p>
        </w:tc>
        <w:tc>
          <w:tcPr>
            <w:tcW w:type="dxa" w:w="51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Inventory/documentation only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Material regulatory correction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earlier report/runtime treated June 4, 2026 as a universal effective date for FINRA's replacement of the pattern day trader framework and cited FINRA Notice 25-14. That notice concerns a different subject. Current code no longer treats the calendar date alone as proof of adoption.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SEC Release 34-105226 approved SR-FINRA-2025-017 on April 14, 2026, but requires FINRA to announce the effective date in a separate Regulatory Notice and permits phased implementation. Current runtime status is approved_pending_finra_notice_or_broker_adoption. Account-specific activation defaults to unknown and requires fresh broker evidence or an explicit operator-attested adoption record.</w:t>
      </w:r>
    </w:p>
    <w:p>
      <w:pPr>
        <w:spacing w:after="120" w:line="276"/>
      </w:pPr>
      <w:hyperlink w:history="1" r:id="rIdbepvhdvr4c6na4oxyqh0i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SEC rulemaking page</w:t>
        </w:r>
      </w:hyperlink>
      <w:r>
        <w:rPr>
          <w:rFonts w:ascii="Arial" w:cs="Arial" w:eastAsia="Arial" w:hAnsi="Arial"/>
          <w:sz w:val="20"/>
          <w:szCs w:val="20"/>
        </w:rPr>
        <w:t xml:space="preserve"> · </w:t>
      </w:r>
      <w:hyperlink w:history="1" r:id="rIdhfdnj9kh69xtxp73sc86i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SEC approval order</w:t>
        </w:r>
      </w:hyperlink>
      <w:r>
        <w:rPr>
          <w:rFonts w:ascii="Arial" w:cs="Arial" w:eastAsia="Arial" w:hAnsi="Arial"/>
          <w:sz w:val="20"/>
          <w:szCs w:val="20"/>
        </w:rPr>
        <w:t xml:space="preserve"> · </w:t>
      </w:r>
      <w:hyperlink w:history="1" r:id="rIdqocfmpq4eqptoyme5wis-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FINRA filing</w:t>
        </w:r>
      </w:hyperlink>
      <w:r>
        <w:rPr>
          <w:rFonts w:ascii="Arial" w:cs="Arial" w:eastAsia="Arial" w:hAnsi="Arial"/>
          <w:sz w:val="20"/>
          <w:szCs w:val="20"/>
        </w:rPr>
        <w:t xml:space="preserve"> · </w:t>
      </w:r>
      <w:hyperlink w:history="1" r:id="rIdhps2lcxpo6zaou7gxgiof">
        <w:r>
          <w:rPr>
            <w:rFonts w:ascii="Arial" w:cs="Arial" w:eastAsia="Arial" w:hAnsi="Arial"/>
            <w:color w:val="2D6A8A"/>
            <w:sz w:val="20"/>
            <w:szCs w:val="20"/>
            <w:u w:val="single"/>
          </w:rPr>
          <w:t xml:space="preserve">Alpaca transition guide</w:t>
        </w:r>
      </w:hyperlink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Current read-only operational snapshot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Account values below came from a read-only connectivity check at 2026-08-11T09:42:00+00:00. They establish connectivity, not trading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Buying power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Paper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360263.06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98810.78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109.22</w:t>
            </w:r>
          </w:p>
        </w:tc>
        <w:tc>
          <w:tcPr>
            <w:tcW w:type="dxa" w:w="278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204.16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Live trading remains frozen. The current live-control reason is retained below because healthy account connectivity does not override authority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2026-07-30T16:52Z integrity failure: fresh broker reconciliation confirms filled dashboard NFLX order e5d06403-6ed5-4159-97f2-d45b9d0585aa still lacks durable external-action execution history and replay suppression proof; six July 30 TSM close evaluations produced six distinct idempotency keys with zero submissions and zero reconciliations. Keep live trading and all new live buys frozen pending resilience repair.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compact context refreshed at 2026-08-11T09:42:06.293574+00:00 still identifies stale/drill-down work. No order was submitted, replaced, canceled, or otherwise managed during this update.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Files and reporting changes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config/alpaca_api_reference_catalog.json - complete versioned inventory and runtime classification.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tradingagents/dataflows/alpaca_reference.py - fail-closed GET-only route client, bundle collector, bounded streams, and audit summary.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tradingagents/dataflows/alpaca_market_data.py - explicit feed provenance and filtered-tape caveat.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tradingagents/brokers/supervisor/daily_report.py and cli/main.py - material-only email summary plus full local reference snapshot.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tradingagents/research/market_structure.py and dependent overnight/hourly paths - pending/adoption-evidence regulatory model.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0"/>
          <w:szCs w:val="20"/>
        </w:rPr>
        <w:t xml:space="preserve">docs/alpaca and docs/regulatory - durable documentation and supersession notice.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Historical July DOCX/PDF files remain untouched. This August 11 revision is the current report for these changes.</w:t>
      </w:r>
    </w:p>
    <w:p>
      <w:pPr>
        <w:sectPr>
          <w:footerReference w:type="default" r:id="rId7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7324D"/>
          <w:sz w:val="20"/>
          <w:szCs w:val="20"/>
        </w:rPr>
        <w:t xml:space="preserve">Appendix: complete 99-operation Alpaca catalog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 row is documentation/reference inventory. Only GET rows are callable through the new allowlisted client; bounded streams require explicit opt-in.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4300"/>
        <w:gridCol w:w="2700"/>
        <w:gridCol w:w="1900"/>
      </w:tblGrid>
      <w:tr>
        <w:trPr>
          <w:tblHeader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Stable route 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Path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Runtime class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17324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Report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authentication.post.oauth2_token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/oauth2/token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auth_only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market_data.get.v1_corporate_actions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/v1/corporate-actions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market_data.get.v1beta1_events_corporate_actions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/v1beta1/events/corporate-actions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bounded_stream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market_data.get.v1beta1_fixed_income_latest_prices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/v1beta1/fixed_income/latest/prices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market_data.get.v1beta1_fixed_income_latest_quotes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/v1beta1/fixed_income/latest/quotes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market_data.get.v1beta1_forex_latest_rates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/v1beta1/forex/latest/rates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market_data.get.v1beta1_forex_rates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/v1beta1/forex/rates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market_data.get.v1beta1_logos_symbol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/v1beta1/logos/{symbol}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market_data.get.v1beta1_news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/v1beta1/news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market_data.get.v1beta1_options_bars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/v1beta1/options/bars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market_data.get.v1beta1_options_meta_conditions_ticktype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/v1beta1/options/meta/conditions/{ticktype}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market_data.get.v1beta1_options_meta_exchanges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/v1beta1/options/meta/exchanges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market_data.get.v1beta1_options_quotes_latest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/v1beta1/options/quotes/latest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market_data.get.v1beta1_options_snapshots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/v1beta1/options/snapshots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market_data.get.v1beta1_options_snapshots_underlying_symbol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/v1beta1/options/snapshots/{underlying_symbol}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market_data.get.v1beta1_options_trades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/v1beta1/options/trades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market_data.get.v1beta1_options_trades_latest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/v1beta1/options/trades/latest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market_data.get.v1beta1_screener_market_type_movers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/v1beta1/screener/{market_type}/movers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market_data.get.v1beta1_screener_stocks_most_actives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/v1beta1/screener/stocks/most-actives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market_data.get.v1beta3_crypto_loc_bars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/v1beta3/crypto/{loc}/bars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market_data.get.v1beta3_crypto_loc_latest_bars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/v1beta3/crypto/{loc}/latest/bars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market_data.get.v1beta3_crypto_loc_latest_orderbooks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/v1beta3/crypto/{loc}/latest/orderbooks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market_data.get.v1beta3_crypto_loc_latest_quotes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/v1beta3/crypto/{loc}/latest/quotes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market_data.get.v1beta3_crypto_loc_latest_trades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/v1beta3/crypto/{loc}/latest/trades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market_data.get.v1beta3_crypto_loc_snapshots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/v1beta3/crypto/{loc}/snapshots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market_data.get.v1beta3_crypto_loc_trades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/v1beta3/crypto/{loc}/trades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market_data.get.v2_stocks_symbol_auctions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/v2/stocks/{symbol}/auctions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market_data.get.v2_stocks_symbol_bars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/v2/stocks/{symbol}/bars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market_data.get.v2_stocks_symbol_bars_latest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/v2/stocks/{symbol}/bars/latest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market_data.get.v2_stocks_symbol_quotes_latest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/v2/stocks/{symbol}/quotes/latest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market_data.get.v2_stocks_symbol_snapshot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/v2/stocks/{symbol}/snapshot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market_data.get.v2_stocks_symbol_trades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/v2/stocks/{symbol}/trades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market_data.get.v2_stocks_symbol_trades_latest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/v2/stocks/{symbol}/trades/latest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market_data.get.v2_stocks_auctions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/v2/stocks/auctions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market_data.get.v2_stocks_bars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/v2/stocks/bars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market_data.get.v2_stocks_bars_latest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/v2/stocks/bars/latest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market_data.get.v2_stocks_meta_conditions_ticktype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/v2/stocks/meta/conditions/{ticktype}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market_data.get.v2_stocks_meta_exchanges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/v2/stocks/meta/exchanges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market_data.get.v2_stocks_quotes_latest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/v2/stocks/quotes/latest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market_data.get.v2_stocks_snapshots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/v2/stocks/snapshots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market_data.get.v2_stocks_trades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/v2/stocks/trades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market_data.get.v2_stocks_trades_latest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/v2/stocks/trades/latest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trading.get.v1_locates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/v1/locates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trading.post.v1_locates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/v1/locates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trading.get.v1_locates_locate_id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/v1/locates/{locate_id}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trading.get.v1_locates_quotes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/v1/locates/quotes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trading.get.v2_account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trading.get.v2_account_activities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/v2/account/activities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trading.get.v2_account_activities_activity_type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/v2/account/activities/{activity_type}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trading.get.v2_account_configurations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/v2/account/configurations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trading.patch.v2_account_configurations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PATCH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/v2/account/configurations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trading.get.v2_account_portfolio_history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/v2/account/portfolio/history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trading.get.v2_assets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/v2/assets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trading.get.v2_assets_symbol_or_asset_id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/v2/assets/{symbol_or_asset_id}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trading.get.v2_calendar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/v2/calendar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trading.get.v2_clock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/v2/clock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trading.get.v2_options_contracts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/v2/options/contracts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trading.get.v2_options_contracts_symbol_or_id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/v2/options/contracts/{symbol_or_id}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trading.delete.v2_orders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trading.get.v2_orders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trading.post.v2_orders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trading.get.v2_ordersby_client_order_id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/v2/orders:by_client_order_id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trading.delete.v2_orders_order_id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/v2/orders/{order_id}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trading.get.v2_orders_order_id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/v2/orders/{order_id}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trading.patch.v2_orders_order_id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PATCH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/v2/orders/{order_id}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trading.delete.v2_positions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trading.get.v2_positions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trading.delete.v2_positions_symbol_or_asset_id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/v2/positions/{symbol_or_asset_id}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trading.get.v2_positions_symbol_or_asset_id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/v2/positions/{symbol_or_asset_id}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trading.post.v2_positions_symbol_or_contract_id_do_not_exercise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/v2/positions/{symbol_or_contract_id}/do-not-exercise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trading.post.v2_positions_symbol_or_contract_id_exercise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/v2/positions/{symbol_or_contract_id}/exercise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trading.post.v2_tokenization_mint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/v2/tokenization/mint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trading.get.v2_tokenization_requests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/v2/tokenization/requests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trading.get.v2_tokenization_requestsby_client_request_id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/v2/tokenization/requests:by_client_request_id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trading.get.v2_tokenization_requests_tokenization_request_id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/v2/tokenization/requests/{tokenization_request_id}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trading.get.v2_wallets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trading.get.v2_wallets_fees_estimate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/v2/wallets/fees/estimate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trading.get.v2_wallets_transfers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/v2/wallets/transfers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trading.get.v2_wallets_transfers_transfer_id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/v2/wallets/transfers/{transfer_id}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trading.get.v2_wallets_whitelists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/v2/wallets/whitelists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trading.post.v2_wallets_whitelists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/v2/wallets/whitelists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trading.delete.v2_wallets_whitelists_whitelisted_address_id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/v2/wallets/whitelists/{whitelisted_address_id}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trading.get.v2_watchlists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trading.post.v2_watchlists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trading.delete.v2_watchlistsby_name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/v2/watchlists:by_name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trading.get.v2_watchlistsby_name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/v2/watchlists:by_name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trading.post.v2_watchlistsby_name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/v2/watchlists:by_name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trading.put.v2_watchlistsby_name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PUT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/v2/watchlists:by_name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trading.delete.v2_watchlists_watchlist_id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/v2/watchlists/{watchlist_id}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trading.get.v2_watchlists_watchlist_id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/v2/watchlists/{watchlist_id}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on_demand_read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trading.post.v2_watchlists_watchlist_id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/v2/watchlists/{watchlist_id}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trading.put.v2_watchlists_watchlist_id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PUT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/v2/watchlists/{watchlist_id}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trading.delete.v2_watchlists_watchlist_id_symbol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/v2/watchlists/{watchlist_id}/{symbol}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documented_mutation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local_json_only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trading.get.v2beta1_events_activities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/v2beta1/events/activities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bounded_stream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trading.get.v3_calendar_market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/v3/calendar/{market}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trading.get.v3_clock</w:t>
            </w:r>
          </w:p>
        </w:tc>
        <w:tc>
          <w:tcPr>
            <w:tcW w:type="dxa" w:w="11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GET</w:t>
            </w:r>
          </w:p>
        </w:tc>
        <w:tc>
          <w:tcPr>
            <w:tcW w:type="dxa" w:w="43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/v3/clock</w:t>
            </w:r>
          </w:p>
        </w:tc>
        <w:tc>
          <w:tcPr>
            <w:tcW w:type="dxa" w:w="27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scheduled_core</w:t>
            </w:r>
          </w:p>
        </w:tc>
        <w:tc>
          <w:tcPr>
            <w:tcW w:type="dxa" w:w="1900"/>
            <w:tcBorders>
              <w:top w:val="single" w:color="B7C6D1" w:sz="1"/>
              <w:left w:val="single" w:color="B7C6D1" w:sz="1"/>
              <w:bottom w:val="single" w:color="B7C6D1" w:sz="1"/>
              <w:right w:val="single" w:color="B7C6D1" w:sz="1"/>
            </w:tcBorders>
            <w:shd w:fill="F7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material_only</w:t>
            </w:r>
          </w:p>
        </w:tc>
      </w:tr>
    </w:tbl>
    <w:sectPr>
      <w:footerReference w:type="default" r:id="rId8"/>
      <w:type w:val="nextPage"/>
      <w:pgSz w:w="15840" w:h="12240" w:orient="landscape"/>
      <w:pgMar w:top="650" w:right="650" w:bottom="7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TradingAgents · August 11, 2026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TradingAgents · August 11, 2026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7324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8wiirebq6kzrfvgtshsk-" Type="http://schemas.openxmlformats.org/officeDocument/2006/relationships/hyperlink" Target="https://github.com/alpacahq/alpaca-mcp-server" TargetMode="External"/><Relationship Id="rId-h1jtv7ojnffooyrhvfko" Type="http://schemas.openxmlformats.org/officeDocument/2006/relationships/hyperlink" Target="https://github.com/alpacahq/alpaca-mcp-server/commit/d86619172814441ac0ec2dccc2962b873c0193dc" TargetMode="External"/><Relationship Id="rIdbepvhdvr4c6na4oxyqh0i" Type="http://schemas.openxmlformats.org/officeDocument/2006/relationships/hyperlink" Target="https://www.sec.gov/rules-regulations/self-regulatory-organization-rulemaking/sr-finra-2025-017" TargetMode="External"/><Relationship Id="rIdhfdnj9kh69xtxp73sc86i" Type="http://schemas.openxmlformats.org/officeDocument/2006/relationships/hyperlink" Target="https://www.sec.gov/files/rules/sro/finra/2026/34-105226.pdf" TargetMode="External"/><Relationship Id="rIdqocfmpq4eqptoyme5wis-" Type="http://schemas.openxmlformats.org/officeDocument/2006/relationships/hyperlink" Target="https://www.finra.org/rules-guidance/rule-filings/sr-finra-2025-017" TargetMode="External"/><Relationship Id="rIdhps2lcxpo6zaou7gxgiof" Type="http://schemas.openxmlformats.org/officeDocument/2006/relationships/hyperlink" Target="https://docs.alpaca.markets/us/docs/understanding-finras-new-intraday-margin-rule-and-the-end-of-pd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2026-08-11T09:45:14.791Z</dcterms:created>
  <dcterms:modified xsi:type="dcterms:W3CDTF">2026-08-11T09:45:14.792Z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