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Conocimiento sectorial para invertir en Lavalleja</w:t>
      </w:r>
    </w:p>
    <w:p>
      <w:pPr>
        <w:pStyle w:val="Subtitle"/>
      </w:pPr>
      <w:r>
        <w:t>Ampliación de Gianna Invest con fuentes oficiales</w:t>
      </w:r>
    </w:p>
    <w:p>
      <w:r>
        <w:t>Corte documental 19 de octubre de 2026</w:t>
      </w:r>
    </w:p>
    <w:p>
      <w:r>
        <w:t>Esta ampliación incorpora conocimiento sectorial y territorial para orientar inversiones en Lavalleja. La prioridad es resolver la falta de información específica sobre generación de energía y ampliar el detalle de cadenas agroindustriales, turismo, servicios y actividades emergentes. Cada ficha conserva el ámbito geográfico, las condiciones de aplicación, la naturaleza de la evidencia y sus fuentes.</w:t>
      </w:r>
    </w:p>
    <w:p>
      <w:r>
        <w:t>La conclusión principal para energía es que la selección del sitio depende del padrón y del proyecto. Existen prohibiciones expresas para eólicos y alta tensión dentro de Arequita SNAP y usos incompatibles con aerogeneradores en categorías del Plan Local de Villa Serrana. Las Directrices departamentales contemplan autorización y evaluación de impacto para instalaciones eólicas en suelo rural. Ninguna de estas reglas permite declarar habilitado todo el resto del departamento. [EN-001 a EN-005]</w:t>
      </w:r>
    </w:p>
    <w:tbl>
      <w:tblPr>
        <w:tblW w:type="auto" w:w="0"/>
        <w:jc w:val="center"/>
        <w:tblLayout w:type="fixed"/>
        <w:tblLook w:firstColumn="1" w:firstRow="1" w:lastColumn="0" w:lastRow="0" w:noHBand="0" w:noVBand="1" w:val="04A0"/>
      </w:tblPr>
      <w:tblGrid>
        <w:gridCol w:w="7632"/>
        <w:gridCol w:w="2448"/>
      </w:tblGrid>
      <w:tr>
        <w:trPr>
          <w:cantSplit/>
          <w:tblHeader/>
        </w:trPr>
        <w:tc>
          <w:tcPr>
            <w:tcW w:type="dxa" w:w="763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E6EEF5"/>
          </w:tcPr>
          <w:p>
            <w:pPr>
              <w:keepNext w:val="0"/>
              <w:spacing w:after="40" w:before="40" w:line="250" w:lineRule="auto"/>
            </w:pPr>
            <w:r>
              <w:rPr>
                <w:rFonts w:ascii="Calibri" w:hAnsi="Calibri"/>
                <w:b/>
                <w:color w:val="000000"/>
                <w:sz w:val="20"/>
              </w:rPr>
              <w:t>Contenido del complemento</w:t>
            </w:r>
          </w:p>
        </w:tc>
        <w:tc>
          <w:tcPr>
            <w:tcW w:type="dxa" w:w="244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E6EEF5"/>
          </w:tcPr>
          <w:p>
            <w:pPr>
              <w:keepNext w:val="0"/>
              <w:spacing w:after="40" w:before="40" w:line="250" w:lineRule="auto"/>
              <w:jc w:val="center"/>
            </w:pPr>
            <w:r>
              <w:rPr>
                <w:rFonts w:ascii="Calibri" w:hAnsi="Calibri"/>
                <w:b/>
                <w:color w:val="000000"/>
                <w:sz w:val="20"/>
              </w:rPr>
              <w:t>Cantidad</w:t>
            </w:r>
          </w:p>
        </w:tc>
      </w:tr>
      <w:tr>
        <w:trPr>
          <w:cantSplit/>
        </w:trPr>
        <w:tc>
          <w:tcPr>
            <w:tcW w:type="dxa" w:w="763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Fichas de conocimiento para el corpus</w:t>
            </w:r>
          </w:p>
        </w:tc>
        <w:tc>
          <w:tcPr>
            <w:tcW w:type="dxa" w:w="244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jc w:val="center"/>
            </w:pPr>
            <w:r>
              <w:rPr>
                <w:rFonts w:ascii="Calibri" w:hAnsi="Calibri"/>
                <w:b w:val="0"/>
                <w:color w:val="000000"/>
                <w:sz w:val="20"/>
              </w:rPr>
              <w:t>128</w:t>
            </w:r>
          </w:p>
        </w:tc>
      </w:tr>
      <w:tr>
        <w:trPr>
          <w:cantSplit/>
        </w:trPr>
        <w:tc>
          <w:tcPr>
            <w:tcW w:type="dxa" w:w="763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Registros de fuente con localizadores</w:t>
            </w:r>
          </w:p>
        </w:tc>
        <w:tc>
          <w:tcPr>
            <w:tcW w:type="dxa" w:w="244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jc w:val="center"/>
            </w:pPr>
            <w:r>
              <w:rPr>
                <w:rFonts w:ascii="Calibri" w:hAnsi="Calibri"/>
                <w:b w:val="0"/>
                <w:color w:val="000000"/>
                <w:sz w:val="20"/>
              </w:rPr>
              <w:t>127</w:t>
            </w:r>
          </w:p>
        </w:tc>
      </w:tr>
      <w:tr>
        <w:trPr>
          <w:cantSplit/>
        </w:trPr>
        <w:tc>
          <w:tcPr>
            <w:tcW w:type="dxa" w:w="763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Enlaces oficiales distintos</w:t>
            </w:r>
          </w:p>
        </w:tc>
        <w:tc>
          <w:tcPr>
            <w:tcW w:type="dxa" w:w="244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jc w:val="center"/>
            </w:pPr>
            <w:r>
              <w:rPr>
                <w:rFonts w:ascii="Calibri" w:hAnsi="Calibri"/>
                <w:b w:val="0"/>
                <w:color w:val="000000"/>
                <w:sz w:val="20"/>
              </w:rPr>
              <w:t>122</w:t>
            </w:r>
          </w:p>
        </w:tc>
      </w:tr>
      <w:tr>
        <w:trPr>
          <w:cantSplit/>
        </w:trPr>
        <w:tc>
          <w:tcPr>
            <w:tcW w:type="dxa" w:w="7632"/>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Zonas comerciales conservadas</w:t>
            </w:r>
          </w:p>
        </w:tc>
        <w:tc>
          <w:tcPr>
            <w:tcW w:type="dxa" w:w="244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jc w:val="center"/>
            </w:pPr>
            <w:r>
              <w:rPr>
                <w:rFonts w:ascii="Calibri" w:hAnsi="Calibri"/>
                <w:b w:val="0"/>
                <w:color w:val="000000"/>
                <w:sz w:val="20"/>
              </w:rPr>
              <w:t>7</w:t>
            </w:r>
          </w:p>
        </w:tc>
      </w:tr>
    </w:tbl>
    <w:p>
      <w:pPr>
        <w:spacing w:after="40"/>
      </w:pPr>
    </w:p>
    <w:p>
      <w:r>
        <w:t>Las oportunidades propuestas se identifican como hipótesis. Los antecedentes empresariales, la cartografía, una oferta educativa o una convocatoria no se convierten en terrenos disponibles, capacidad libre, demanda asegurada ni beneficios adjudicados. Los períodos históricos se mantienen junto a cada dato.</w:t>
      </w:r>
    </w:p>
    <w:p>
      <w:r>
        <w:t xml:space="preserve">Contenido  </w:t>
      </w:r>
      <w:hyperlink w:anchor="diagnostico">
        <w:r>
          <w:rPr>
            <w:color w:val="245C88"/>
            <w:u w:val="single"/>
          </w:rPr>
          <w:t>Diagnóstico</w:t>
        </w:r>
      </w:hyperlink>
      <w:r>
        <w:t xml:space="preserve">  ·  </w:t>
      </w:r>
      <w:hyperlink w:anchor="territorio">
        <w:r>
          <w:rPr>
            <w:color w:val="245C88"/>
            <w:u w:val="single"/>
          </w:rPr>
          <w:t>Lectura territorial</w:t>
        </w:r>
      </w:hyperlink>
      <w:r>
        <w:t xml:space="preserve">  ·  </w:t>
      </w:r>
      <w:hyperlink w:anchor="energia">
        <w:r>
          <w:rPr>
            <w:color w:val="245C88"/>
            <w:u w:val="single"/>
          </w:rPr>
          <w:t>Energía</w:t>
        </w:r>
      </w:hyperlink>
      <w:r>
        <w:t xml:space="preserve">  ·  </w:t>
      </w:r>
      <w:hyperlink w:anchor="agro">
        <w:r>
          <w:rPr>
            <w:color w:val="245C88"/>
            <w:u w:val="single"/>
          </w:rPr>
          <w:t>Agroindustria</w:t>
        </w:r>
      </w:hyperlink>
      <w:r>
        <w:t xml:space="preserve">  ·  </w:t>
      </w:r>
      <w:hyperlink w:anchor="turismo">
        <w:r>
          <w:rPr>
            <w:color w:val="245C88"/>
            <w:u w:val="single"/>
          </w:rPr>
          <w:t>Turismo y servicios</w:t>
        </w:r>
      </w:hyperlink>
      <w:r>
        <w:t xml:space="preserve">  ·  </w:t>
      </w:r>
      <w:hyperlink w:anchor="transversal">
        <w:r>
          <w:rPr>
            <w:color w:val="245C88"/>
            <w:u w:val="single"/>
          </w:rPr>
          <w:t>Agua y nuevas actividades</w:t>
        </w:r>
      </w:hyperlink>
      <w:r>
        <w:t xml:space="preserve">  ·  </w:t>
      </w:r>
      <w:hyperlink w:anchor="fuentes">
        <w:r>
          <w:rPr>
            <w:color w:val="245C88"/>
            <w:u w:val="single"/>
          </w:rPr>
          <w:t>Fuentes</w:t>
        </w:r>
      </w:hyperlink>
    </w:p>
    <w:p>
      <w:bookmarkStart w:id="1" w:name="diagnostico"/>
      <w:pPr>
        <w:pStyle w:val="Heading1"/>
      </w:pPr>
      <w:r>
        <w:t>1 Diagnóstico del corpus de partida</w:t>
      </w:r>
      <w:bookmarkEnd w:id="1"/>
    </w:p>
    <w:p>
      <w:r>
        <w:t>La revisión comprende el código de la rama main de invest-lavalleja-rag-chat en el commit 30fb0b45b642d9e7b5b5568fa688def866f599d2 y el corpus original Invest Lavalleja Guía de inversiones 2026, con corte del 18 de septiembre de 2026. Ese corpus contiene 271 registros, de los cuales 196 son públicos y 75 internos, 50 fuentes, 16 oportunidades y siete zonas. El código excluye del repositorio los archivos de conocimiento y las bases SQLite; por ello, esta comparación no certifica qué versión está publicada actualmente en el servidor.</w:t>
      </w:r>
    </w:p>
    <w:p>
      <w:r>
        <w:t>La base original aporta una estructura útil de oportunidades, costos, incentivos y cautelas. También incluye el reconocimiento del Geoparque Manantiales Serranos, Arequita, el Plan Local de Villa Serrana, RUNAEV y COMAP. El complemento profundiza esas materias e incorpora cadenas que carecían de tratamiento específico; no vuelve a presentar como novedad todo lo que ya estaba documentado.</w:t>
      </w:r>
    </w:p>
    <w:tbl>
      <w:tblPr>
        <w:tblW w:type="auto" w:w="0"/>
        <w:jc w:val="center"/>
        <w:tblLayout w:type="fixed"/>
        <w:tblLook w:firstColumn="1" w:firstRow="1" w:lastColumn="0" w:lastRow="0" w:noHBand="0" w:noVBand="1" w:val="04A0"/>
      </w:tblPr>
      <w:tblGrid>
        <w:gridCol w:w="1728"/>
        <w:gridCol w:w="3888"/>
        <w:gridCol w:w="4464"/>
      </w:tblGrid>
      <w:tr>
        <w:trPr>
          <w:cantSplit/>
          <w:tblHeader/>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E6EEF5"/>
          </w:tcPr>
          <w:p>
            <w:pPr>
              <w:keepNext w:val="0"/>
              <w:spacing w:after="40" w:before="40" w:line="250" w:lineRule="auto"/>
            </w:pPr>
            <w:r>
              <w:rPr>
                <w:rFonts w:ascii="Calibri" w:hAnsi="Calibri"/>
                <w:b/>
                <w:color w:val="000000"/>
                <w:sz w:val="20"/>
              </w:rPr>
              <w:t>Tema</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E6EEF5"/>
          </w:tcPr>
          <w:p>
            <w:pPr>
              <w:keepNext w:val="0"/>
              <w:spacing w:after="40" w:before="40" w:line="250" w:lineRule="auto"/>
            </w:pPr>
            <w:r>
              <w:rPr>
                <w:rFonts w:ascii="Calibri" w:hAnsi="Calibri"/>
                <w:b/>
                <w:color w:val="000000"/>
                <w:sz w:val="20"/>
              </w:rPr>
              <w:t>Situación de partida</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E6EEF5"/>
          </w:tcPr>
          <w:p>
            <w:pPr>
              <w:keepNext w:val="0"/>
              <w:spacing w:after="40" w:before="40" w:line="250" w:lineRule="auto"/>
            </w:pPr>
            <w:r>
              <w:rPr>
                <w:rFonts w:ascii="Calibri" w:hAnsi="Calibri"/>
                <w:b/>
                <w:color w:val="000000"/>
                <w:sz w:val="20"/>
              </w:rPr>
              <w:t>Ampliación</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Generación de energía</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Ausencia de desarrollo específico de eólica, solar, biomasa y biogás; O09 se concentra en eficiencia.</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Permisos, red, autoconsumo 2026, parques existentes, almacenamiento e hidrógeno. EN-001 a EN-034.</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Territorio y restricciones</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Plan de Villa Serrana y SNAP Arequita citados, sin respuesta eólica detallada por categoría.</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Artículos aplicables, polígono, corredores paisajísticos, normas derogadas y propuestas. EN-001 a EN-005; TS-001 a TS-010.</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Agro y diversificación</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Arroz, servicios rurales y alimentos tratados de modo general; subcadenas poco desarrolladas.</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CGA 2024, CONEAT, riego, semillas, apicultura, olivos, vid, horticultura, lechería y quesos. AG-001 a AG-015.</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Forestación y madera</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Cadena de madera y autorización ambiental mencionadas en términos generales.</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Decreto 179/026, registro de 40 a 100 ha, cuencas, ciclos y bosque nativo. AG-016 a AG-021.</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Minerales y materiales</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Complejo industrial y materiales identificados; falta mayor detalle extractivo.</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Ocurrencias históricas por lugar, Cédula Minera, concesión y residuos de obra. AG-022 a AG-025; AG-031.</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Alimentos y producciones reguladas</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Alimentos, frío y RUNAEV ya presentes; falta distinguir actividades y permisos.</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Miel, quesería, raciones, avicultura, registros de local y transición de rótulos. AG-010, AG-015, AG-027 a AG-029, AG-035.</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Turismo e inmuebles</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Oferta turística y oportunidades de alojamiento ampliamente presentes.</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Subzonas, retiros, saneamiento, construcción, estacionamiento, registros sectoriales y novedades 2026. TS-001 a TS-026; TS-034.</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Logística y capacidades</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Corredores, servicios y formación incluidos a nivel general.</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Diferencia entre inventario ferroviario y servicio comercial; Ruta 14 y formación específica. TS-018 a TS-020; TS-027 a TS-029.</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Cuidados y salud</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Sin desarrollo específico equivalente al de los nuevos registros.</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Demografía, ELEPEM, pertinencia sanitaria y soporte de equipos médicos. TS-030 a TS-033.</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Agua y residuos</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Oportunidades O10 y O11 y referencias generales a permisos.</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Derechos y umbrales de agua, Decreto 226/025 y transición, gestores y valorización. TR-001 a TR-007.</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Nuevos servicios y bioeconomía</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Servicios digitales presentes; audiovisuales y otras cadenas emergentes sin detalle comparable.</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Software e impuestos, datos e IA, Lavalleja Filma, cáñamo, acuicultura y drones. TR-010 a TR-020.</w:t>
            </w:r>
          </w:p>
        </w:tc>
      </w:tr>
      <w:tr>
        <w:trPr>
          <w:cantSplit/>
        </w:trPr>
        <w:tc>
          <w:tcPr>
            <w:tcW w:type="dxa" w:w="172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Incentivos y canales</w:t>
            </w:r>
          </w:p>
        </w:tc>
        <w:tc>
          <w:tcPr>
            <w:tcW w:type="dxa" w:w="388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COMAP 329/025 y 152/026 ya incorporados en la base original.</w:t>
            </w:r>
          </w:p>
        </w:tc>
        <w:tc>
          <w:tcPr>
            <w:tcW w:type="dxa" w:w="446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Elegibilidad y plazos precisos; ACAU y RUPE como vías con condiciones propias. TR-015, TR-021 a TR-023.</w:t>
            </w:r>
          </w:p>
        </w:tc>
      </w:tr>
    </w:tbl>
    <w:p>
      <w:pPr>
        <w:spacing w:after="40"/>
      </w:pPr>
    </w:p>
    <w:p>
      <w:pPr>
        <w:pStyle w:val="Heading2"/>
      </w:pPr>
      <w:r>
        <w:t>Cómo interpretar las fichas</w:t>
      </w:r>
    </w:p>
    <w:p>
      <w:r>
        <w:t>Hecho o requisito documentado: la fuente respalda la información indicada, dentro de su fecha y ámbito. Hecho con aplicación o inferencia: combina evidencia con una lectura práctica para el proyecto. Hipótesis de inversión: propone una actividad o localización para investigar y explicita lo que falta validar. La etiqueta de evidencia no sustituye la lectura de las condiciones.</w:t>
      </w:r>
    </w:p>
    <w:p>
      <w:r>
        <w:t>Las 128 fichas nuevas tienen metadatos de audiencia pública para su revisión editorial. Esa clasificación no significa publicación ni aprobación automática dentro de Gianna. El archivo JSON adjunto conserva el esquema gianna.corpus.v1 y es el archivo preparado para cargar. Este documento incluye además diagnóstico y orientación de lectura que no forman parte de los registros nuevos del corpus.</w:t>
      </w:r>
    </w:p>
    <w:p>
      <w:r>
        <w:t>La unión de prueba con el corpus original conservó sus registros y fechas sin recertificarlos. Esa copia se utilizó para validar la integración y no forma parte del paquete entregado. Para la carga, unir el complemento con la exportación vigente del equipo mediante la herramienta y las instrucciones incluidas.</w:t>
      </w:r>
    </w:p>
    <w:p>
      <w:bookmarkStart w:id="2" w:name="territorio"/>
      <w:pPr>
        <w:pStyle w:val="Heading1"/>
      </w:pPr>
      <w:r>
        <w:t>2 Lectura territorial de las oportunidades</w:t>
      </w:r>
      <w:bookmarkEnd w:id="2"/>
    </w:p>
    <w:p>
      <w:r>
        <w:t>Z1 a Z7 son agrupaciones comerciales de la guía original. No son categorías de suelo, secciones catastrales o policiales, cuencas, áreas protegidas ni polígonos de autorización. La tabla orienta una primera conversación; toda decisión territorial requiere localizar el padrón y comprobar las reglas efectivamente aplicables.</w:t>
      </w:r>
    </w:p>
    <w:tbl>
      <w:tblPr>
        <w:tblW w:type="auto" w:w="0"/>
        <w:jc w:val="center"/>
        <w:tblLayout w:type="fixed"/>
        <w:tblLook w:firstColumn="1" w:firstRow="1" w:lastColumn="0" w:lastRow="0" w:noHBand="0" w:noVBand="1" w:val="04A0"/>
      </w:tblPr>
      <w:tblGrid>
        <w:gridCol w:w="1584"/>
        <w:gridCol w:w="2160"/>
        <w:gridCol w:w="3168"/>
        <w:gridCol w:w="3168"/>
      </w:tblGrid>
      <w:tr>
        <w:trPr>
          <w:cantSplit/>
          <w:tblHeader/>
        </w:trPr>
        <w:tc>
          <w:tcPr>
            <w:tcW w:type="dxa" w:w="158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E6EEF5"/>
          </w:tcPr>
          <w:p>
            <w:pPr>
              <w:keepNext w:val="0"/>
              <w:spacing w:after="40" w:before="40" w:line="250" w:lineRule="auto"/>
            </w:pPr>
            <w:r>
              <w:rPr>
                <w:rFonts w:ascii="Calibri" w:hAnsi="Calibri"/>
                <w:b/>
                <w:color w:val="000000"/>
                <w:sz w:val="20"/>
              </w:rPr>
              <w:t>Zona</w:t>
            </w:r>
          </w:p>
        </w:tc>
        <w:tc>
          <w:tcPr>
            <w:tcW w:type="dxa" w:w="216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E6EEF5"/>
          </w:tcPr>
          <w:p>
            <w:pPr>
              <w:keepNext w:val="0"/>
              <w:spacing w:after="40" w:before="40" w:line="250" w:lineRule="auto"/>
            </w:pPr>
            <w:r>
              <w:rPr>
                <w:rFonts w:ascii="Calibri" w:hAnsi="Calibri"/>
                <w:b/>
                <w:color w:val="000000"/>
                <w:sz w:val="20"/>
              </w:rPr>
              <w:t>Evidencia y antecedentes</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E6EEF5"/>
          </w:tcPr>
          <w:p>
            <w:pPr>
              <w:keepNext w:val="0"/>
              <w:spacing w:after="40" w:before="40" w:line="250" w:lineRule="auto"/>
            </w:pPr>
            <w:r>
              <w:rPr>
                <w:rFonts w:ascii="Calibri" w:hAnsi="Calibri"/>
                <w:b/>
                <w:color w:val="000000"/>
                <w:sz w:val="20"/>
              </w:rPr>
              <w:t>Líneas que pueden evaluarse</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E6EEF5"/>
          </w:tcPr>
          <w:p>
            <w:pPr>
              <w:keepNext w:val="0"/>
              <w:spacing w:after="40" w:before="40" w:line="250" w:lineRule="auto"/>
            </w:pPr>
            <w:r>
              <w:rPr>
                <w:rFonts w:ascii="Calibri" w:hAnsi="Calibri"/>
                <w:b/>
                <w:color w:val="000000"/>
                <w:sz w:val="20"/>
              </w:rPr>
              <w:t>Control determinante y fichas</w:t>
            </w:r>
          </w:p>
        </w:tc>
      </w:tr>
      <w:tr>
        <w:trPr>
          <w:cantSplit/>
        </w:trPr>
        <w:tc>
          <w:tcPr>
            <w:tcW w:type="dxa" w:w="158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Z1</w:t>
              <w:br/>
              <w:t>Minas y entorno</w:t>
            </w:r>
          </w:p>
        </w:tc>
        <w:tc>
          <w:tcPr>
            <w:tcW w:type="dxa" w:w="216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Minas I; cemento; formación UTEC; ecopuntos.</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Mantenimiento industrial y energético, agua y efluentes, rehabilitación urbana, cuidados y servicios digitales.</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Padrón y patrimonio; red eléctrica; permisos del proceso. EN-007; AG-025; TS-018, TS-022, TS-024, TS-030.</w:t>
            </w:r>
          </w:p>
        </w:tc>
      </w:tr>
      <w:tr>
        <w:trPr>
          <w:cantSplit/>
        </w:trPr>
        <w:tc>
          <w:tcPr>
            <w:tcW w:type="dxa" w:w="158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Z2</w:t>
              <w:br/>
              <w:t>Solís y Aguas Blancas</w:t>
            </w:r>
          </w:p>
        </w:tc>
        <w:tc>
          <w:tcPr>
            <w:tcW w:type="dxa" w:w="216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Bodega en Ruta 8 km 91; antecedentes lecheros del suroeste.</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Alimentos, quesería, enoturismo, energía para procesos, tratamiento de efluentes y servicios digitales.</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Cuenca del predio, habilitación alimentaria y uso del suelo. AG-009, AG-010, AG-013; EN-020.</w:t>
            </w:r>
          </w:p>
        </w:tc>
      </w:tr>
      <w:tr>
        <w:trPr>
          <w:cantSplit/>
        </w:trPr>
        <w:tc>
          <w:tcPr>
            <w:tcW w:type="dxa" w:w="158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Z3</w:t>
              <w:br/>
              <w:t>Villa Serrana Marco de los Reyes Penitente</w:t>
            </w:r>
          </w:p>
        </w:tc>
        <w:tc>
          <w:tcPr>
            <w:tcW w:type="dxa" w:w="216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Plan local con subzonas y condiciones turísticas.</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Alojamiento compatible, turismo aventura, saneamiento y rehabilitación con escala autorizada.</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Identificar ámbito del plan y subzona; eólica incompatible en áreas expresas. EN-003; TS-001 a TS-010, TS-034.</w:t>
            </w:r>
          </w:p>
        </w:tc>
      </w:tr>
      <w:tr>
        <w:trPr>
          <w:cantSplit/>
        </w:trPr>
        <w:tc>
          <w:tcPr>
            <w:tcW w:type="dxa" w:w="158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Z4</w:t>
              <w:br/>
              <w:t>Mariscala y Pirarajá</w:t>
            </w:r>
          </w:p>
        </w:tc>
        <w:tc>
          <w:tcPr>
            <w:tcW w:type="dxa" w:w="216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Antecedentes rurales y minerales en Pirarajá y Los Tapes.</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Servicios ganaderos, madera, mantenimiento, prospección y materiales bajo permisos.</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Suelos, ciclos forestales, títulos mineros y logística real. AG-007, AG-020, AG-022 a AG-024.</w:t>
            </w:r>
          </w:p>
        </w:tc>
      </w:tr>
      <w:tr>
        <w:trPr>
          <w:cantSplit/>
        </w:trPr>
        <w:tc>
          <w:tcPr>
            <w:tcW w:type="dxa" w:w="158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Z5</w:t>
              <w:br/>
              <w:t>José Pedro Varela y entorno</w:t>
            </w:r>
          </w:p>
        </w:tc>
        <w:tc>
          <w:tcPr>
            <w:tcW w:type="dxa" w:w="216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Microregión arrocera histórica; referencia de semillas; actividad apícola.</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Riego, secado y acopio, semillas, calidad, miel, eficiencia de bombeo y logística.</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PUSA y agua por separado; clientes y plantas operativas; ferrocarril por confirmar. AG-004 a AG-006, AG-014; TS-028.</w:t>
            </w:r>
          </w:p>
        </w:tc>
      </w:tr>
      <w:tr>
        <w:trPr>
          <w:cantSplit/>
        </w:trPr>
        <w:tc>
          <w:tcPr>
            <w:tcW w:type="dxa" w:w="158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Z6</w:t>
              <w:br/>
              <w:t>Batlle y Ordóñez y Zapicán</w:t>
            </w:r>
          </w:p>
        </w:tc>
        <w:tc>
          <w:tcPr>
            <w:tcW w:type="dxa" w:w="216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Corredores vial y ferroviario inventariados; contexto rural.</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Servicios ganaderos y ovinos, oficios, madera, flotas y logística regional.</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7F9FA"/>
          </w:tcPr>
          <w:p>
            <w:pPr>
              <w:keepNext w:val="0"/>
              <w:spacing w:after="40" w:before="40" w:line="250" w:lineRule="auto"/>
            </w:pPr>
            <w:r>
              <w:rPr>
                <w:rFonts w:ascii="Calibri" w:hAnsi="Calibri"/>
                <w:b w:val="0"/>
                <w:color w:val="000000"/>
                <w:sz w:val="20"/>
              </w:rPr>
              <w:t>Acceso real, distancias a clientes, estado de infraestructura y contratos. AG-007, AG-020, AG-034; TS-028, TS-029.</w:t>
            </w:r>
          </w:p>
        </w:tc>
      </w:tr>
      <w:tr>
        <w:trPr>
          <w:cantSplit/>
        </w:trPr>
        <w:tc>
          <w:tcPr>
            <w:tcW w:type="dxa" w:w="1584"/>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Z7</w:t>
              <w:br/>
              <w:t>Arequita Polanco y Barriga Negra</w:t>
            </w:r>
          </w:p>
        </w:tc>
        <w:tc>
          <w:tcPr>
            <w:tcW w:type="dxa" w:w="2160"/>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Área SNAP delimitada; rodaje en entorno de Arequita; antecedentes minerales.</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Turismo e interpretación, proveedores audiovisuales y actividades rurales compatibles.</w:t>
            </w:r>
          </w:p>
        </w:tc>
        <w:tc>
          <w:tcPr>
            <w:tcW w:type="dxa" w:w="3168"/>
            <w:vAlign w:val="center"/>
            <w:tcMar>
              <w:top w:w="80" w:type="dxa"/>
              <w:bottom w:w="80" w:type="dxa"/>
              <w:left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0" w:lineRule="auto"/>
            </w:pPr>
            <w:r>
              <w:rPr>
                <w:rFonts w:ascii="Calibri" w:hAnsi="Calibri"/>
                <w:b w:val="0"/>
                <w:color w:val="000000"/>
                <w:sz w:val="20"/>
              </w:rPr>
              <w:t>Dentro de Arequita SNAP rigen prohibiciones expresas; no extenderlas a toda Z7. EN-004; AG-022; TR-013, TR-014.</w:t>
            </w:r>
          </w:p>
        </w:tc>
      </w:tr>
    </w:tbl>
    <w:p>
      <w:pPr>
        <w:spacing w:after="40"/>
      </w:pPr>
    </w:p>
    <w:p>
      <w:pPr>
        <w:pStyle w:val="Heading2"/>
      </w:pPr>
      <w:r>
        <w:t>Ubicaciones que necesitan una referencia propia</w:t>
      </w:r>
    </w:p>
    <w:p>
      <w:r>
        <w:t>La olivicultura cuenta con un antecedente oficial en Sabiá, Ruta 12 km 357, que se conserva como punto específico sin asignarlo artificialmente a una zona comercial. La referencia de recurso eólico en el límite Lavalleja Florida Treinta y Tres es regional. La microregión arrocera incluye María Albina y Paso Averías y se vincula con Lascano, en Rocha. Las cuencas del Santa Lucía y Cebollatí y las secciones utilizadas en los mapas de residuos requieren su propia delimitación. [AG-005, AG-012, EN-006, EN-024]</w:t>
      </w:r>
    </w:p>
    <w:p>
      <w:r>
        <w:t>Cáñamo, acuicultura, biometano, hidrógeno y otros proyectos exploratorios no se presentan con un emplazamiento habilitado comprobado. Sus fichas explican el proceso de evaluación nacional y las condiciones que deben resolverse antes de seleccionar un sitio.</w:t>
      </w:r>
    </w:p>
    <w:p>
      <w:pPr>
        <w:pStyle w:val="Heading2"/>
      </w:pPr>
      <w:r>
        <w:t>Datos necesarios para una respuesta por predio</w:t>
      </w:r>
    </w:p>
    <w:p>
      <w:r>
        <w:t>Identificar departamento, localidad, padrón actual, sección catastral y coordenadas; actividad y escala; obra nueva o instalación existente; consumo y generación eléctrica; captación y vertido de agua; residuos, accesos y trazado de conexión. Con esa información se puede verificar el instrumento territorial, el procedimiento ambiental y los trámites sectoriales. [EN-034, AG-002, AG-023, TR-001]</w:t>
      </w:r>
    </w:p>
    <w:p>
      <w:bookmarkStart w:id="3" w:name="energia"/>
      <w:pPr>
        <w:pStyle w:val="Heading1"/>
      </w:pPr>
      <w:r>
        <w:t>3 Energía y ordenamiento territorial</w:t>
      </w:r>
      <w:bookmarkEnd w:id="3"/>
    </w:p>
    <w:p>
      <w:pPr>
        <w:pStyle w:val="RecordMeta"/>
      </w:pPr>
      <w:r>
        <w:t>34 fichas autónomas con condiciones y fuentes. La fecha de corte del complemento es el 19 de octubre de 2026; cada antecedente conserva su período propio.</w:t>
      </w:r>
    </w:p>
    <w:p>
      <w:bookmarkStart w:id="4" w:name="r_EN_001"/>
      <w:pPr>
        <w:pStyle w:val="Heading2"/>
      </w:pPr>
      <w:r>
        <w:t>Eólica en suelo rural autorización departamental y EIAUPOT</w:t>
      </w:r>
      <w:bookmarkEnd w:id="4"/>
    </w:p>
    <w:p>
      <w:pPr>
        <w:pStyle w:val="RecordMeta"/>
      </w:pPr>
      <w:r>
        <w:t>EN-001  ·  Hecho o requisito documentado  ·  Z1, Z2, Z3, Z4, Z5, Z6, Z7</w:t>
      </w:r>
    </w:p>
    <w:p>
      <w:r>
        <w:t>Al corte del 19/10/2026, el artículo 23 del Decreto departamental 3571/2019 incluye las instalaciones eólicas con infraestructura o servicios colectivos entre las actividades rurales que necesitan autorización de localización de la Intendencia de Lavalleja. Debe presentarse previamente una evaluación de impacto ambiental, urbano, paisajístico y de ordenamiento territorial, denominada EIAUPOT. La instalación conserva la categoría rural del predio. El artículo 58 aclara que la aprobación ambiental nacional es complementaria y no sustituye esa evaluación departamental. Por tanto, identificar un campo ventoso o conseguir un arrendamiento no habilita un parque. La respuesta para un inversor debe partir del padrón, sección catastral, tecnología, potencia y trazado de conexión, y verificar los instrumentos especiales y restricciones aplicables. No se verificó una prohibición departamental general definida simplemente como «al sur de ruta 8».</w:t>
      </w:r>
    </w:p>
    <w:p>
      <w:pPr>
        <w:pStyle w:val="RecordConditions"/>
      </w:pPr>
      <w:r>
        <w:rPr>
          <w:b/>
        </w:rPr>
        <w:t xml:space="preserve">Condiciones  </w:t>
      </w:r>
      <w:r>
        <w:t>Autorización de localización IDL y EIAUPOT previa en el supuesto del artículo 23. La autorización ambiental nacional no sustituye la evaluación departamental. No afirmar una prohibición general al sur de ruta 8 ni una habilitación general fuera de áreas protegidas.</w:t>
      </w:r>
    </w:p>
    <w:p>
      <w:pPr>
        <w:pStyle w:val="SourceNote"/>
      </w:pPr>
      <w:r>
        <w:rPr>
          <w:b/>
        </w:rPr>
        <w:t xml:space="preserve">Fuentes  </w:t>
      </w:r>
      <w:hyperlink w:anchor="s_EN001">
        <w:r>
          <w:rPr>
            <w:color w:val="245C88"/>
            <w:u w:val="single"/>
          </w:rPr>
          <w:t>EN001</w:t>
        </w:r>
      </w:hyperlink>
      <w:r>
        <w:t xml:space="preserve">  ·  Decreto 3571/2019, arts. 23 y 58; PDF páginas 19 y 63, numeración digital desde 1.</w:t>
      </w:r>
      <w:r>
        <w:t xml:space="preserve">  ·  Período: Situación documental consultada al 19/10/2026; revisar ante cada inversión.</w:t>
      </w:r>
    </w:p>
    <w:p>
      <w:bookmarkStart w:id="5" w:name="r_EN_002"/>
      <w:pPr>
        <w:pStyle w:val="Heading2"/>
      </w:pPr>
      <w:r>
        <w:t>Corredores viales y paisaje franjas de uso condicionado</w:t>
      </w:r>
      <w:bookmarkEnd w:id="5"/>
    </w:p>
    <w:p>
      <w:pPr>
        <w:pStyle w:val="RecordMeta"/>
      </w:pPr>
      <w:r>
        <w:t>EN-002  ·  Hecho con aplicación o inferencia  ·  Z1, Z2, Z3, Z4, Z5, Z6, Z7</w:t>
      </w:r>
    </w:p>
    <w:p>
      <w:r>
        <w:t>Al corte del 19/10/2026, el artículo 57 de las Directrices de Lavalleja, en la redacción del Decreto 3589/2019, condiciona los usos del suelo en corredores paisajísticos a autorización departamental con estudio de impacto. Establece franjas de 300 metros desde cada margen de las rutas 8, 12, 60 y 81 y del Camino al Arequita; para las demás rutas, 150 metros por lado. Aunque la disposición emplea la expresión zonas de exclusión, su texto establece un régimen de autorización condicionada y no una prohibición indiferenciada de toda actividad. Aplicación al inversor: estudiar aerogeneradores, paneles, subestaciones, acopios y accesos junto con su impacto visual. Estos anchos no equivalen a distancias universales entre turbinas y viviendas, ni sustituyen los retiros viales o los límites de un plan local.</w:t>
      </w:r>
    </w:p>
    <w:p>
      <w:pPr>
        <w:pStyle w:val="RecordConditions"/>
      </w:pPr>
      <w:r>
        <w:rPr>
          <w:b/>
        </w:rPr>
        <w:t xml:space="preserve">Condiciones  </w:t>
      </w:r>
      <w:r>
        <w:t>Comprobar artículo 57 y ubicación efectiva respecto de cada margen vial. Uso condicionado a autorización y estudio de impacto; no interpretar como permiso automático. No confundir estas franjas con separación técnica entre aerogeneradores y receptores.</w:t>
      </w:r>
    </w:p>
    <w:p>
      <w:pPr>
        <w:pStyle w:val="SourceNote"/>
      </w:pPr>
      <w:r>
        <w:rPr>
          <w:b/>
        </w:rPr>
        <w:t xml:space="preserve">Fuentes  </w:t>
      </w:r>
      <w:hyperlink w:anchor="s_EN001">
        <w:r>
          <w:rPr>
            <w:color w:val="245C88"/>
            <w:u w:val="single"/>
          </w:rPr>
          <w:t>EN001</w:t>
        </w:r>
      </w:hyperlink>
      <w:r>
        <w:t xml:space="preserve">  ·  Decreto 3571/2019, art. 57, redacción art. 11 de 3589/2019; PDF p. 62 digital.</w:t>
      </w:r>
      <w:r>
        <w:t xml:space="preserve">  ·  Período: Situación documental consultada al 19/10/2026; revisar ante cada inversión.</w:t>
      </w:r>
    </w:p>
    <w:p>
      <w:bookmarkStart w:id="6" w:name="r_EN_003"/>
      <w:pPr>
        <w:pStyle w:val="Heading2"/>
      </w:pPr>
      <w:r>
        <w:t>Villa Serrana y Marco de los Reyes subzonas incompatibles con aerogeneradores</w:t>
      </w:r>
      <w:bookmarkEnd w:id="6"/>
    </w:p>
    <w:p>
      <w:pPr>
        <w:pStyle w:val="RecordMeta"/>
      </w:pPr>
      <w:r>
        <w:t>EN-003  ·  Hecho o requisito documentado  ·  Z3</w:t>
      </w:r>
    </w:p>
    <w:p>
      <w:r>
        <w:t>Al corte del 19/10/2026, el Plan Local aprobado por Decreto 3701/2021 identifica aerogeneradores como uso incompatible en RN1, artículo 75; RP1 o búfer rural vulnerable, artículo 79; RP2 o Cuchilla del Pozo, artículo 83; y las seis áreas suburbanas SU1 a SU6, artículos 91, 95, 99, 103, 107 y 111. La etiqueta comercial Z3 no define el ámbito legal: deben cruzarse padrón y sección con el artículo 2, plano MI.03 y cartografía integrante. El artículo 87 de RP3 no menciona aerogeneradores en su lista particular; esa ausencia no concede autorización y subsisten las reglas generales del plan. Tampoco se verificó una excepción general para pequeños aerogeneradores domésticos. Un pedido presentado durante la participación pública no modifica la norma aprobada. Para cualquier proyecto energético, confirmar subzona y compatibilidad en Ordenamiento Territorial de IDL.</w:t>
      </w:r>
    </w:p>
    <w:p>
      <w:pPr>
        <w:pStyle w:val="RecordConditions"/>
      </w:pPr>
      <w:r>
        <w:rPr>
          <w:b/>
        </w:rPr>
        <w:t xml:space="preserve">Condiciones  </w:t>
      </w:r>
      <w:r>
        <w:t>Aerogeneradores incompatibles en RN1, RP1, RP2 y SU1–SU6 según artículos indicados. RP3 sin mención específica no equivale a autorización. No extender límites legales a toda la zona comercial Z3 ni inventar excepción doméstica.</w:t>
      </w:r>
    </w:p>
    <w:p>
      <w:pPr>
        <w:pStyle w:val="SourceNote"/>
      </w:pPr>
      <w:r>
        <w:rPr>
          <w:b/>
        </w:rPr>
        <w:t xml:space="preserve">Fuentes  </w:t>
      </w:r>
      <w:hyperlink w:anchor="s_EN002">
        <w:r>
          <w:rPr>
            <w:color w:val="245C88"/>
            <w:u w:val="single"/>
          </w:rPr>
          <w:t>EN002</w:t>
        </w:r>
      </w:hyperlink>
      <w:r>
        <w:t xml:space="preserve">  ·  Decreto 3701/2021, art. 2 y arts. 75–111 citados; subcategorías y plano MI.03.</w:t>
      </w:r>
      <w:r>
        <w:t xml:space="preserve">  ·  Período: Situación documental consultada al 19/10/2026; revisar ante cada inversión.</w:t>
      </w:r>
    </w:p>
    <w:p>
      <w:bookmarkStart w:id="7" w:name="r_EN_004"/>
      <w:pPr>
        <w:pStyle w:val="Heading2"/>
      </w:pPr>
      <w:r>
        <w:t>Parque Nacional Arequita prohibición de eólicos y alta tensión</w:t>
      </w:r>
      <w:bookmarkEnd w:id="7"/>
    </w:p>
    <w:p>
      <w:pPr>
        <w:pStyle w:val="RecordMeta"/>
      </w:pPr>
      <w:r>
        <w:t>EN-004  ·  Hecho o requisito documentado  ·  Z7</w:t>
      </w:r>
    </w:p>
    <w:p>
      <w:r>
        <w:t>Al corte del 19/10/2026, el Decreto nacional 306/024, promulgado el 13/11/2024 y publicado el 22/11/2024, incorpora Arequita al SNAP como Parque Nacional. Su artículo 3.c prohíbe parques eólicos y líneas de alta tensión dentro del área protegida. El artículo 1 y el anexo delimitan el ámbito mediante padrones y superficies fiscales, incluyendo sus modificaciones catastrales posteriores. Entre los padrones originales figuran 19.151, 19.152, 4.773 y 8.409 de la primera sección catastral y 11.023 a 11.027 de la tercera. Deben incorporarse también las superficies públicas especificadas en el decreto. La referencia comercial Z7 Arequita–Polanco–Barriga Negra es más amplia y no constituye el polígono SNAP. Para seleccionar un predio o una conexión se debe comprobar la intersección exacta con el anexo; el buen viento o la proximidad de infraestructura no levantan la prohibición.</w:t>
      </w:r>
    </w:p>
    <w:p>
      <w:pPr>
        <w:pStyle w:val="RecordConditions"/>
      </w:pPr>
      <w:r>
        <w:rPr>
          <w:b/>
        </w:rPr>
        <w:t xml:space="preserve">Condiciones  </w:t>
      </w:r>
      <w:r>
        <w:t>Prohibidos parques eólicos y líneas de alta tensión en el polígono del Decreto 306/024. Usar padrones, antecedentes catastrales y anexo; no limitarse al nombre comercial Arequita. La zona comercial Z7 no equivale al área protegida.</w:t>
      </w:r>
    </w:p>
    <w:p>
      <w:pPr>
        <w:pStyle w:val="SourceNote"/>
      </w:pPr>
      <w:r>
        <w:rPr>
          <w:b/>
        </w:rPr>
        <w:t xml:space="preserve">Fuentes  </w:t>
      </w:r>
      <w:hyperlink w:anchor="s_EN003">
        <w:r>
          <w:rPr>
            <w:color w:val="245C88"/>
            <w:u w:val="single"/>
          </w:rPr>
          <w:t>EN003</w:t>
        </w:r>
      </w:hyperlink>
      <w:r>
        <w:t xml:space="preserve">  ·  Decreto 306/024, arts. 1, 2 y 3.c; anexo cartográfico.</w:t>
      </w:r>
      <w:r>
        <w:t xml:space="preserve">  ·  Período: Situación documental consultada al 19/10/2026; revisar ante cada inversión.</w:t>
      </w:r>
    </w:p>
    <w:p>
      <w:bookmarkStart w:id="8" w:name="r_EN_005"/>
      <w:pPr>
        <w:pStyle w:val="Heading2"/>
      </w:pPr>
      <w:r>
        <w:t>Vigencia territorial decreto derogado y propuesta de Plan de Minas</w:t>
      </w:r>
      <w:bookmarkEnd w:id="8"/>
    </w:p>
    <w:p>
      <w:pPr>
        <w:pStyle w:val="RecordMeta"/>
      </w:pPr>
      <w:r>
        <w:t>EN-005  ·  Hecho con aplicación o inferencia  ·  Z1, Z2, Z3, Z4, Z5, Z6, Z7</w:t>
      </w:r>
    </w:p>
    <w:p>
      <w:r>
        <w:t>Al corte del 19/10/2026, dos controles documentales evitan errores al asesorar inversiones energéticas en Lavalleja. El Decreto departamental 3659/2021 derogó el 3647/2020 y declaró íntegramente vigentes los artículos 70 y 71 del Decreto 3571/2019: no corresponde presentar 3647/2020 como modificación vigente. Por otra parte, la publicación oficial del Plan Local de Minas del 04/12/2024, vinculada con la Resolución 4018/024, corresponde a una puesta de manifiesto. En esta revisión no se verificó un decreto posterior de aprobación definitiva. Sus propuestas de categorización y uso deben identificarse como propuestas hasta comprobar su adopción. Aplicación al inversor: solicitar la constancia territorial vigente del padrón antes de proyectar una central, una subestación o una instalación industrial; una lámina de consulta pública no acredita admisibilidad actual.</w:t>
      </w:r>
    </w:p>
    <w:p>
      <w:pPr>
        <w:pStyle w:val="RecordConditions"/>
      </w:pPr>
      <w:r>
        <w:rPr>
          <w:b/>
        </w:rPr>
        <w:t xml:space="preserve">Condiciones  </w:t>
      </w:r>
      <w:r>
        <w:t>3647/2020 está derogado por 3659/2021. Puesta de manifiesto de Minas verificada; aprobación definitiva posterior no verificada. Confirmar el instrumento vigente para el padrón.</w:t>
      </w:r>
    </w:p>
    <w:p>
      <w:pPr>
        <w:pStyle w:val="SourceNote"/>
      </w:pPr>
      <w:r>
        <w:rPr>
          <w:b/>
        </w:rPr>
        <w:t xml:space="preserve">Fuentes  </w:t>
      </w:r>
      <w:hyperlink w:anchor="s_EN004">
        <w:r>
          <w:rPr>
            <w:color w:val="245C88"/>
            <w:u w:val="single"/>
          </w:rPr>
          <w:t>EN004</w:t>
        </w:r>
      </w:hyperlink>
      <w:r>
        <w:t xml:space="preserve">, </w:t>
      </w:r>
      <w:hyperlink w:anchor="s_EN005">
        <w:r>
          <w:rPr>
            <w:color w:val="245C88"/>
            <w:u w:val="single"/>
          </w:rPr>
          <w:t>EN005</w:t>
        </w:r>
      </w:hyperlink>
      <w:r>
        <w:t xml:space="preserve">  ·  Decreto 3659/2021; página oficial del Plan Local de Minas y Resolución 4018/024.</w:t>
      </w:r>
      <w:r>
        <w:t xml:space="preserve">  ·  Período: Situación documental consultada al 19/10/2026; revisar ante cada inversión.</w:t>
      </w:r>
    </w:p>
    <w:p>
      <w:bookmarkStart w:id="9" w:name="r_EN_006"/>
      <w:pPr>
        <w:pStyle w:val="Heading2"/>
      </w:pPr>
      <w:r>
        <w:t>Recurso eólico en el límite Lavalleja Florida Treinta y Tres</w:t>
      </w:r>
      <w:bookmarkEnd w:id="9"/>
    </w:p>
    <w:p>
      <w:pPr>
        <w:pStyle w:val="RecordMeta"/>
      </w:pPr>
      <w:r>
        <w:t>EN-006  ·  Hecho con aplicación o inferencia  ·  Ámbito específico descrito en la ficha</w:t>
      </w:r>
    </w:p>
    <w:p>
      <w:r>
        <w:t>Al corte del 19/10/2026, el informe oficial de prospectiva de empleo en hidrógeno verde publicado por MTSS/MIEM identifica recurso eólico de alta calidad en el entorno limítrofe entre Lavalleja, Florida y Treinta y Tres. Es una referencia regional útil para prospección, sin una delimitación de terrenos legalmente habilitados. No permite asignar automáticamente aptitud a toda Mariscala, Pirarajá, José Batlle y Ordóñez, Zapicán o cualquier otra localidad. Como línea de prefactibilidad, un desarrollador puede comparar recurso medido a altura de proyecto, turbulencia, accesibilidad, distancias a receptores, compatibilidad de suelo y conexión. La producción esperada y su incertidumbre requieren un estudio propio. Los escenarios del informe son prospectivos: no representan parques adjudicados, contratos de compra, disponibilidad de red ni una promesa de empleo para Lavalleja.</w:t>
      </w:r>
    </w:p>
    <w:p>
      <w:pPr>
        <w:pStyle w:val="RecordConditions"/>
      </w:pPr>
      <w:r>
        <w:rPr>
          <w:b/>
        </w:rPr>
        <w:t xml:space="preserve">Condiciones  </w:t>
      </w:r>
      <w:r>
        <w:t>Referencia regional de recurso; no zonificación vinculante ni habilitación predial. Confirmar recurso con estudio del sitio y compatibilidad territorial. Escenarios de empleo e hidrógeno no equivalen a inversiones adjudicadas.</w:t>
      </w:r>
    </w:p>
    <w:p>
      <w:pPr>
        <w:pStyle w:val="SourceNote"/>
      </w:pPr>
      <w:r>
        <w:rPr>
          <w:b/>
        </w:rPr>
        <w:t xml:space="preserve">Fuentes  </w:t>
      </w:r>
      <w:hyperlink w:anchor="s_EN026">
        <w:r>
          <w:rPr>
            <w:color w:val="245C88"/>
            <w:u w:val="single"/>
          </w:rPr>
          <w:t>EN026</w:t>
        </w:r>
      </w:hyperlink>
      <w:r>
        <w:t xml:space="preserve">, </w:t>
      </w:r>
      <w:hyperlink w:anchor="s_EN001">
        <w:r>
          <w:rPr>
            <w:color w:val="245C88"/>
            <w:u w:val="single"/>
          </w:rPr>
          <w:t>EN001</w:t>
        </w:r>
      </w:hyperlink>
      <w:r>
        <w:t xml:space="preserve">, </w:t>
      </w:r>
      <w:hyperlink w:anchor="s_EN009">
        <w:r>
          <w:rPr>
            <w:color w:val="245C88"/>
            <w:u w:val="single"/>
          </w:rPr>
          <w:t>EN009</w:t>
        </w:r>
      </w:hyperlink>
      <w:r>
        <w:t xml:space="preserve">  ·  Informe prospectivo MTSS/MIEM, PDF pp. 6–7; alcance regional.</w:t>
      </w:r>
      <w:r>
        <w:t xml:space="preserve">  ·  Período: Situación documental consultada al 19/10/2026; revisar ante cada inversión.</w:t>
      </w:r>
    </w:p>
    <w:p>
      <w:bookmarkStart w:id="10" w:name="r_EN_007"/>
      <w:pPr>
        <w:pStyle w:val="Heading2"/>
      </w:pPr>
      <w:r>
        <w:t>Parque Eólico Minas I antecedente verificable de 42 MW</w:t>
      </w:r>
      <w:bookmarkEnd w:id="10"/>
    </w:p>
    <w:p>
      <w:pPr>
        <w:pStyle w:val="RecordMeta"/>
      </w:pPr>
      <w:r>
        <w:t>EN-007  ·  Hecho con aplicación o inferencia  ·  Z1</w:t>
      </w:r>
    </w:p>
    <w:p>
      <w:r>
        <w:t>Al corte del 19/10/2026, la tabla pública de participantes generadores de ADME identifica a Generación Eólica Minas S.A., central Minas I, con 42 MW de potencia instalada y 42 MW autorizados a inyectar en la red. El Informe Ambiental Resumen de septiembre de 2012, publicado en el expediente oficial del Ministerio de Ambiente, sitúa el proyecto aproximadamente a 15 kilómetros de Minas y describe acceso por el kilómetro 114 de ruta 8. Ese informe histórico fue elaborado para el promotor y debe distinguirse de una autorización vigente. La presencia del parque permite reconocer experiencia eólica local y estudiar servicios asociados; no prueba capacidad libre en su conexión, terrenos disponibles, posibilidad de ampliarlo ni vigencia actual de cada permiso. Para una transacción o repotenciación deben revisarse el expediente y los contratos de la central concreta.</w:t>
      </w:r>
    </w:p>
    <w:p>
      <w:pPr>
        <w:pStyle w:val="RecordConditions"/>
      </w:pPr>
      <w:r>
        <w:rPr>
          <w:b/>
        </w:rPr>
        <w:t xml:space="preserve">Condiciones  </w:t>
      </w:r>
      <w:r>
        <w:t>ADME distingue 42 MW instalados y 42 MW autorizados a inyectar. IAR 2012 es antecedente histórico del promotor en expediente público. Un parque existente no prueba capacidad libre ni autorización para ampliaciones.</w:t>
      </w:r>
    </w:p>
    <w:p>
      <w:pPr>
        <w:pStyle w:val="SourceNote"/>
      </w:pPr>
      <w:r>
        <w:rPr>
          <w:b/>
        </w:rPr>
        <w:t xml:space="preserve">Fuentes  </w:t>
      </w:r>
      <w:hyperlink w:anchor="s_EN032">
        <w:r>
          <w:rPr>
            <w:color w:val="245C88"/>
            <w:u w:val="single"/>
          </w:rPr>
          <w:t>EN032</w:t>
        </w:r>
      </w:hyperlink>
      <w:r>
        <w:t xml:space="preserve">, </w:t>
      </w:r>
      <w:hyperlink w:anchor="s_EN033">
        <w:r>
          <w:rPr>
            <w:color w:val="245C88"/>
            <w:u w:val="single"/>
          </w:rPr>
          <w:t>EN033</w:t>
        </w:r>
      </w:hyperlink>
      <w:r>
        <w:t xml:space="preserve">  ·  ADME, fila Generación Eólica Minas S.A. (Minas I); IAR septiembre 2012, sección 2.1, p. impresa 9.</w:t>
      </w:r>
      <w:r>
        <w:t xml:space="preserve">  ·  Período: Situación documental consultada al 19/10/2026; revisar ante cada inversión.</w:t>
      </w:r>
    </w:p>
    <w:p>
      <w:bookmarkStart w:id="11" w:name="r_EN_008"/>
      <w:pPr>
        <w:pStyle w:val="Heading2"/>
      </w:pPr>
      <w:r>
        <w:t>Parques del entorno interdepartamental y Solís de Mataojo</w:t>
      </w:r>
      <w:bookmarkEnd w:id="11"/>
    </w:p>
    <w:p>
      <w:pPr>
        <w:pStyle w:val="RecordMeta"/>
      </w:pPr>
      <w:r>
        <w:t>EN-008  ·  Hecho con aplicación o inferencia  ·  Z2</w:t>
      </w:r>
    </w:p>
    <w:p>
      <w:r>
        <w:t>Al corte del 19/10/2026, ADME incluye las centrales eólicas Maldonado, de R del Sur S.A., y Maldonado II, de R del Este S.A., con 50 MW instalados cada una. Las fichas oficiales del MIEM de las resoluciones 583/015 y 907/015 refieren a generación en Maldonado y Lavalleja. No corresponde atribuir los 100 MW íntegramente a Lavalleja sin desagregación por ubicación. ADME también enumera la central Solís de Mataojo del fideicomiso 55.993/2014 con 10 MW instalados. En esa tabla hay campos vacíos de potencia autorizada a inyectar, que no deben interpretarse como cero. Son antecedentes para investigar servicios y operación regional; no constituyen una oferta de nuevos proyectos ni prueban que predios vecinos compartan autorización territorial, ambiental o capacidad de conexión.</w:t>
      </w:r>
    </w:p>
    <w:p>
      <w:pPr>
        <w:pStyle w:val="RecordConditions"/>
      </w:pPr>
      <w:r>
        <w:rPr>
          <w:b/>
        </w:rPr>
        <w:t xml:space="preserve">Condiciones  </w:t>
      </w:r>
      <w:r>
        <w:t>No asignar a Lavalleja toda la potencia de parques interdepartamentales. Una celda vacía de inyección en ADME no equivale a cero. Verificar padrones y permisos del proyecto específico; no inferir habilitación vecina.</w:t>
      </w:r>
    </w:p>
    <w:p>
      <w:pPr>
        <w:pStyle w:val="SourceNote"/>
      </w:pPr>
      <w:r>
        <w:rPr>
          <w:b/>
        </w:rPr>
        <w:t xml:space="preserve">Fuentes  </w:t>
      </w:r>
      <w:hyperlink w:anchor="s_EN032">
        <w:r>
          <w:rPr>
            <w:color w:val="245C88"/>
            <w:u w:val="single"/>
          </w:rPr>
          <w:t>EN032</w:t>
        </w:r>
      </w:hyperlink>
      <w:r>
        <w:t xml:space="preserve">, </w:t>
      </w:r>
      <w:hyperlink w:anchor="s_EN034">
        <w:r>
          <w:rPr>
            <w:color w:val="245C88"/>
            <w:u w:val="single"/>
          </w:rPr>
          <w:t>EN034</w:t>
        </w:r>
      </w:hyperlink>
      <w:r>
        <w:t xml:space="preserve">, </w:t>
      </w:r>
      <w:hyperlink w:anchor="s_EN035">
        <w:r>
          <w:rPr>
            <w:color w:val="245C88"/>
            <w:u w:val="single"/>
          </w:rPr>
          <w:t>EN035</w:t>
        </w:r>
      </w:hyperlink>
      <w:r>
        <w:t xml:space="preserve">  ·  ADME: filas R del Sur, R del Este y Fideicomiso 55.993/2014; fichas MIEM 583/015 y 907/015.</w:t>
      </w:r>
      <w:r>
        <w:t xml:space="preserve">  ·  Período: Situación documental consultada al 19/10/2026; revisar ante cada inversión.</w:t>
      </w:r>
    </w:p>
    <w:p>
      <w:bookmarkStart w:id="12" w:name="r_EN_009"/>
      <w:pPr>
        <w:pStyle w:val="Heading2"/>
      </w:pPr>
      <w:r>
        <w:t>Nuevas centrales umbrales ambientales de 10 MW y 150 kV</w:t>
      </w:r>
      <w:bookmarkEnd w:id="12"/>
    </w:p>
    <w:p>
      <w:pPr>
        <w:pStyle w:val="RecordMeta"/>
      </w:pPr>
      <w:r>
        <w:t>EN-009  ·  Hecho o requisito documentado  ·  Z1, Z2, Z3, Z4, Z5, Z6, Z7</w:t>
      </w:r>
    </w:p>
    <w:p>
      <w:r>
        <w:t>Al corte del 19/10/2026, el artículo 2 del Reglamento aprobado por Decreto 349/005 somete a Autorización Ambiental Previa las nuevas usinas de generación de más de 10 MW, cualquiera sea su fuente primaria, y las líneas de transmisión de 150 kV o más o la rectificación de su trazado, según sus numerales 16 y 18. Por ello, una planta solar, eólica o de biomasa y su conexión deben examinarse como componentes relacionados. Estar en 10 MW o menos no supone exención ambiental total: otros numerales pueden alcanzar el proyecto por actividades industriales, residuos, obras hidráulicas o localización protegida. La potencia eléctrica tampoco determina por sí sola la compatibilidad con el suelo. Antes de invertir corresponde definir el alcance integral de obras y consultar el procedimiento aplicable al Ministerio de Ambiente, además de los permisos departamentales y eléctricos.</w:t>
      </w:r>
    </w:p>
    <w:p>
      <w:pPr>
        <w:pStyle w:val="RecordConditions"/>
      </w:pPr>
      <w:r>
        <w:rPr>
          <w:b/>
        </w:rPr>
        <w:t xml:space="preserve">Condiciones  </w:t>
      </w:r>
      <w:r>
        <w:t>Nueva usina: AAP por este numeral si supera 10 MW. Línea de transmisión: umbral de 150 kV o más y rectificación de trazado. Por debajo del umbral eléctrico pueden existir otros disparadores ambientales.</w:t>
      </w:r>
    </w:p>
    <w:p>
      <w:pPr>
        <w:pStyle w:val="SourceNote"/>
      </w:pPr>
      <w:r>
        <w:rPr>
          <w:b/>
        </w:rPr>
        <w:t xml:space="preserve">Fuentes  </w:t>
      </w:r>
      <w:hyperlink w:anchor="s_EN006">
        <w:r>
          <w:rPr>
            <w:color w:val="245C88"/>
            <w:u w:val="single"/>
          </w:rPr>
          <w:t>EN006</w:t>
        </w:r>
      </w:hyperlink>
      <w:r>
        <w:t xml:space="preserve">, </w:t>
      </w:r>
      <w:hyperlink w:anchor="s_EN001">
        <w:r>
          <w:rPr>
            <w:color w:val="245C88"/>
            <w:u w:val="single"/>
          </w:rPr>
          <w:t>EN001</w:t>
        </w:r>
      </w:hyperlink>
      <w:r>
        <w:t xml:space="preserve">  ·  Decreto 349/005, art. 2, numerales 16 y 18 y demás numerales aplicables.</w:t>
      </w:r>
      <w:r>
        <w:t xml:space="preserve">  ·  Período: Situación documental consultada al 19/10/2026; revisar ante cada inversión.</w:t>
      </w:r>
    </w:p>
    <w:p>
      <w:bookmarkStart w:id="13" w:name="r_EN_010"/>
      <w:pPr>
        <w:pStyle w:val="Heading2"/>
      </w:pPr>
      <w:r>
        <w:t>Repotenciación revisar Autorización Ambiental Especial</w:t>
      </w:r>
      <w:bookmarkEnd w:id="13"/>
    </w:p>
    <w:p>
      <w:pPr>
        <w:pStyle w:val="RecordMeta"/>
      </w:pPr>
      <w:r>
        <w:t>EN-010  ·  Hecho con aplicación o inferencia  ·  Z1, Z2, Z3, Z4, Z5, Z6, Z7</w:t>
      </w:r>
    </w:p>
    <w:p>
      <w:r>
        <w:t>Al corte del 19/10/2026, el Decreto 178/009 establece el régimen de Autorización Ambiental Especial para remodelaciones de usinas existentes comprendidas en su disposición, incluyendo ampliaciones de capacidad o cambios de fuente primaria. Esta modificación debe leerse junto al Reglamento 349/005; repetir sólo la redacción antigua sobre usinas puede orientar al procedimiento equivocado. Aplicación a Lavalleja: cambiar aerogeneradores por máquinas de mayor potencia, modificar la configuración de una central o agregar una nueva fuente exige revisar el expediente y encuadre ambiental antes de ejecutar. También deben analizarse la autorización de generación y el convenio de conexión, porque un permiso de operación existente no autoriza cualquier potencia o diseño futuro. No se identificó una autorización general de repotenciación para todos los parques del departamento: cada caso requiere antecedentes, proyecto y pronunciamientos específicos.</w:t>
      </w:r>
    </w:p>
    <w:p>
      <w:pPr>
        <w:pStyle w:val="RecordConditions"/>
      </w:pPr>
      <w:r>
        <w:rPr>
          <w:b/>
        </w:rPr>
        <w:t xml:space="preserve">Condiciones  </w:t>
      </w:r>
      <w:r>
        <w:t>Consultar el encuadre bajo Decreto 178/009; no asumir exención por ser una central existente. Revisar cambios de capacidad, fuente primaria y configuración en el expediente. Permisos y conexión existentes no habilitan cualquier ampliación.</w:t>
      </w:r>
    </w:p>
    <w:p>
      <w:pPr>
        <w:pStyle w:val="SourceNote"/>
      </w:pPr>
      <w:r>
        <w:rPr>
          <w:b/>
        </w:rPr>
        <w:t xml:space="preserve">Fuentes  </w:t>
      </w:r>
      <w:hyperlink w:anchor="s_EN007">
        <w:r>
          <w:rPr>
            <w:color w:val="245C88"/>
            <w:u w:val="single"/>
          </w:rPr>
          <w:t>EN007</w:t>
        </w:r>
      </w:hyperlink>
      <w:r>
        <w:t xml:space="preserve">, </w:t>
      </w:r>
      <w:hyperlink w:anchor="s_EN006">
        <w:r>
          <w:rPr>
            <w:color w:val="245C88"/>
            <w:u w:val="single"/>
          </w:rPr>
          <w:t>EN006</w:t>
        </w:r>
      </w:hyperlink>
      <w:r>
        <w:t xml:space="preserve">, </w:t>
      </w:r>
      <w:hyperlink w:anchor="s_EN008">
        <w:r>
          <w:rPr>
            <w:color w:val="245C88"/>
            <w:u w:val="single"/>
          </w:rPr>
          <w:t>EN008</w:t>
        </w:r>
      </w:hyperlink>
      <w:r>
        <w:t xml:space="preserve">, </w:t>
      </w:r>
      <w:hyperlink w:anchor="s_EN009">
        <w:r>
          <w:rPr>
            <w:color w:val="245C88"/>
            <w:u w:val="single"/>
          </w:rPr>
          <w:t>EN009</w:t>
        </w:r>
      </w:hyperlink>
      <w:r>
        <w:t xml:space="preserve">  ·  Decreto 178/009, art. 1; Reglamento 349/005 y trámite DNE de generación.</w:t>
      </w:r>
      <w:r>
        <w:t xml:space="preserve">  ·  Período: Situación documental consultada al 19/10/2026; revisar ante cada inversión.</w:t>
      </w:r>
    </w:p>
    <w:p>
      <w:bookmarkStart w:id="14" w:name="r_EN_011"/>
      <w:pPr>
        <w:pStyle w:val="Heading2"/>
      </w:pPr>
      <w:r>
        <w:t>Autorización eléctrica para ingresar al SIN y uso de bienes públicos</w:t>
      </w:r>
      <w:bookmarkEnd w:id="14"/>
    </w:p>
    <w:p>
      <w:pPr>
        <w:pStyle w:val="RecordMeta"/>
      </w:pPr>
      <w:r>
        <w:t>EN-011  ·  Hecho o requisito documentado  ·  Z1, Z2, Z3, Z4, Z5, Z6, Z7</w:t>
      </w:r>
    </w:p>
    <w:p>
      <w:r>
        <w:t>Al corte del 19/10/2026, la ficha oficial del MIEM para autorización de generación, actualizada el 06/04/2026, exige identificar al peticionario, terrenos y proyecto, con memorias, planos, cronograma y los permisos ambientales o de aguas que correspondan. Los planos deben relacionar unidades generadoras, conexiones internas y punto de conexión con los padrones involucrados. La autorización de generación no autoriza por sí sola a ocupar bienes públicos: las afectaciones a rutas nacionales se tramitan ante la Dirección Nacional de Vialidad y las de caminos departamentales o vecinales ante el Gobierno Departamental. La participación como generador en el Mercado Mayorista requiere además el procedimiento ante ADME. Para Lavalleja, esto exige incluir desde el inicio la central, accesos y evacuación eléctrica en una misma evaluación de viabilidad, sin prometer un plazo total a partir de una sola ficha administrativa.</w:t>
      </w:r>
    </w:p>
    <w:p>
      <w:pPr>
        <w:pStyle w:val="RecordConditions"/>
      </w:pPr>
      <w:r>
        <w:rPr>
          <w:b/>
        </w:rPr>
        <w:t xml:space="preserve">Condiciones  </w:t>
      </w:r>
      <w:r>
        <w:t>Separar autorización de generación, habilitación ambiental, uso de bienes públicos y acceso al mercado. Planos y padrones deben incluir la evacuación eléctrica. Consultar a DNV por rutas nacionales y a IDL por caminos departamentales o vecinales.</w:t>
      </w:r>
    </w:p>
    <w:p>
      <w:pPr>
        <w:pStyle w:val="SourceNote"/>
      </w:pPr>
      <w:r>
        <w:rPr>
          <w:b/>
        </w:rPr>
        <w:t xml:space="preserve">Fuentes  </w:t>
      </w:r>
      <w:hyperlink w:anchor="s_EN008">
        <w:r>
          <w:rPr>
            <w:color w:val="245C88"/>
            <w:u w:val="single"/>
          </w:rPr>
          <w:t>EN008</w:t>
        </w:r>
      </w:hyperlink>
      <w:r>
        <w:t xml:space="preserve">  ·  Trámite MIEM actualizado 06/04/2026, requisitos y aclaraciones sobre planos, bienes públicos y MMEE.</w:t>
      </w:r>
      <w:r>
        <w:t xml:space="preserve">  ·  Período: Situación documental consultada al 19/10/2026; revisar ante cada inversión.</w:t>
      </w:r>
    </w:p>
    <w:p>
      <w:bookmarkStart w:id="15" w:name="r_EN_012"/>
      <w:pPr>
        <w:pStyle w:val="Heading2"/>
      </w:pPr>
      <w:r>
        <w:t>Conexión en media tensión capacidad local aún por demostrar</w:t>
      </w:r>
      <w:bookmarkEnd w:id="15"/>
    </w:p>
    <w:p>
      <w:pPr>
        <w:pStyle w:val="RecordMeta"/>
      </w:pPr>
      <w:r>
        <w:t>EN-012  ·  Hecho con aplicación o inferencia  ·  Z1, Z2, Z3, Z4, Z5, Z6, Z7</w:t>
      </w:r>
    </w:p>
    <w:p>
      <w:r>
        <w:t>Al corte del 19/10/2026, UTE publica para generación en media tensión el reglamento de conexión, la documentación de solicitud, el convenio, las garantías y criterios de estudios de conectividad. Estos instrumentos permiten iniciar la evaluación de un proyecto concreto; no certifican que una localidad o una línea tenga potencia disponible para nuevas inyecciones. En Minas, Solís de Mataojo, José Pedro Varela o cualquier otra zona de Lavalleja, la proximidad de una subestación o la existencia de otro generador no demuestran capacidad libre. Como requisito de prefactibilidad, obtener de UTE las condiciones del punto, potencia, obras necesarias, costos y plazos aplicables al proyecto. La hipótesis comercial debe mantenerse condicionada hasta esa respuesta. El canal técnico indicado por UTE es grandesclientesyagentes@ute.com.uy; corresponde usar el procedimiento y formularios vigentes.</w:t>
      </w:r>
    </w:p>
    <w:p>
      <w:pPr>
        <w:pStyle w:val="RecordConditions"/>
      </w:pPr>
      <w:r>
        <w:rPr>
          <w:b/>
        </w:rPr>
        <w:t xml:space="preserve">Condiciones  </w:t>
      </w:r>
      <w:r>
        <w:t>Capacidad y punto de conexión requieren estudio específico de UTE. No inferir capacidad libre de la cercanía de líneas, subestaciones o parques. Incorporar obras, garantías, costos y plazos del caso en la evaluación.</w:t>
      </w:r>
    </w:p>
    <w:p>
      <w:pPr>
        <w:pStyle w:val="SourceNote"/>
      </w:pPr>
      <w:r>
        <w:rPr>
          <w:b/>
        </w:rPr>
        <w:t xml:space="preserve">Fuentes  </w:t>
      </w:r>
      <w:hyperlink w:anchor="s_EN009">
        <w:r>
          <w:rPr>
            <w:color w:val="245C88"/>
            <w:u w:val="single"/>
          </w:rPr>
          <w:t>EN009</w:t>
        </w:r>
      </w:hyperlink>
      <w:r>
        <w:t xml:space="preserve">  ·  UTE, conexión de generación a media tensión; documentación y estudios de conectividad.</w:t>
      </w:r>
      <w:r>
        <w:t xml:space="preserve">  ·  Período: Situación documental consultada al 19/10/2026; revisar ante cada inversión.</w:t>
      </w:r>
    </w:p>
    <w:p>
      <w:bookmarkStart w:id="16" w:name="r_EN_013"/>
      <w:pPr>
        <w:pStyle w:val="Heading2"/>
      </w:pPr>
      <w:r>
        <w:t>Conexión en transmisión evaluar la línea junto con el parque</w:t>
      </w:r>
      <w:bookmarkEnd w:id="16"/>
    </w:p>
    <w:p>
      <w:pPr>
        <w:pStyle w:val="RecordMeta"/>
      </w:pPr>
      <w:r>
        <w:t>EN-013  ·  Hecho con aplicación o inferencia  ·  Z1, Z2, Z3, Z4, Z5, Z6, Z7</w:t>
      </w:r>
    </w:p>
    <w:p>
      <w:r>
        <w:t>Al corte del 19/10/2026, UTE dispone de una sección específica de normas para conectar generación a la red de transmisión. La evaluación de una central de gran escala en Lavalleja debe incluir la solución de evacuación y su factibilidad técnica, territorial y ambiental. Una línea dibujada en un mapa no acredita capacidad disponible, autorización de acceso ni derechos para atravesar los inmuebles del trazado. Además, el Reglamento 349/005 alcanza líneas de 150 kV o más y rectificaciones de trazado, y el Decreto 306/024 prohíbe líneas de alta tensión dentro del Parque Nacional Arequita. La compatibilidad de la central no resuelve automáticamente la de la conexión. Como criterio de inversión, comparar alternativas de trazado y punto de interconexión antes de comprometer el sitio y confirmar las condiciones particulares con UTE y las autoridades competentes.</w:t>
      </w:r>
    </w:p>
    <w:p>
      <w:pPr>
        <w:pStyle w:val="RecordConditions"/>
      </w:pPr>
      <w:r>
        <w:rPr>
          <w:b/>
        </w:rPr>
        <w:t xml:space="preserve">Condiciones  </w:t>
      </w:r>
      <w:r>
        <w:t>Conexión y trazado requieren evaluación específica, no capacidad presumida. Verificar umbral ambiental de transmisión y restricciones territoriales. Alta tensión prohibida dentro del área del Decreto 306/024.</w:t>
      </w:r>
    </w:p>
    <w:p>
      <w:pPr>
        <w:pStyle w:val="SourceNote"/>
      </w:pPr>
      <w:r>
        <w:rPr>
          <w:b/>
        </w:rPr>
        <w:t xml:space="preserve">Fuentes  </w:t>
      </w:r>
      <w:hyperlink w:anchor="s_EN010">
        <w:r>
          <w:rPr>
            <w:color w:val="245C88"/>
            <w:u w:val="single"/>
          </w:rPr>
          <w:t>EN010</w:t>
        </w:r>
      </w:hyperlink>
      <w:r>
        <w:t xml:space="preserve">, </w:t>
      </w:r>
      <w:hyperlink w:anchor="s_EN006">
        <w:r>
          <w:rPr>
            <w:color w:val="245C88"/>
            <w:u w:val="single"/>
          </w:rPr>
          <w:t>EN006</w:t>
        </w:r>
      </w:hyperlink>
      <w:r>
        <w:t xml:space="preserve">, </w:t>
      </w:r>
      <w:hyperlink w:anchor="s_EN003">
        <w:r>
          <w:rPr>
            <w:color w:val="245C88"/>
            <w:u w:val="single"/>
          </w:rPr>
          <w:t>EN003</w:t>
        </w:r>
      </w:hyperlink>
      <w:r>
        <w:t xml:space="preserve">  ·  UTE transmisión; Decreto 349/005 art. 2.18; Decreto 306/024 art. 3.c.</w:t>
      </w:r>
      <w:r>
        <w:t xml:space="preserve">  ·  Período: Situación documental consultada al 19/10/2026; revisar ante cada inversión.</w:t>
      </w:r>
    </w:p>
    <w:p>
      <w:bookmarkStart w:id="17" w:name="r_EN_014"/>
      <w:pPr>
        <w:pStyle w:val="Heading2"/>
      </w:pPr>
      <w:r>
        <w:t>Aerogeneradores y radioenlaces registro ante URSEC</w:t>
      </w:r>
      <w:bookmarkEnd w:id="17"/>
    </w:p>
    <w:p>
      <w:pPr>
        <w:pStyle w:val="RecordMeta"/>
      </w:pPr>
      <w:r>
        <w:t>EN-014  ·  Hecho con aplicación o inferencia  ·  Z1, Z2, Z3, Z4, Z5, Z6, Z7</w:t>
      </w:r>
    </w:p>
    <w:p>
      <w:r>
        <w:t>Al corte del 19/10/2026, URSEC mantiene un trámite de registro de emplazamientos de aerogeneradores, actualizado el 27/07/2026, por los posibles obstáculos que introducen en radioenlaces punto a punto. La ficha oficial indica el procedimiento, identificación del solicitante y documentación requerida, y señala que no tiene costo. Para una inversión eólica en Lavalleja, este componente debe incorporarse a las verificaciones tempranas de ubicación y diseño. Una autorización de suelo o de generación no constituye evidencia suficiente sobre compatibilidad con enlaces de comunicaciones. Como aplicación práctica, preparar la ubicación y características de las máquinas para el registro y la consulta técnica correspondiente, junto con los restantes permisos del proyecto. No se verificó una lista pública de todos los corredores de radioenlaces libres ni una autorización general de URSEC para una zona del departamento.</w:t>
      </w:r>
    </w:p>
    <w:p>
      <w:pPr>
        <w:pStyle w:val="RecordConditions"/>
      </w:pPr>
      <w:r>
        <w:rPr>
          <w:b/>
        </w:rPr>
        <w:t xml:space="preserve">Condiciones  </w:t>
      </w:r>
      <w:r>
        <w:t>Consultar y registrar emplazamientos mediante el trámite URSEC vigente. No inferir compatibilidad de radioenlaces a partir de otros permisos. No se cuenta con evidencia de una zona departamental genéricamente libre de interferencias.</w:t>
      </w:r>
    </w:p>
    <w:p>
      <w:pPr>
        <w:pStyle w:val="SourceNote"/>
      </w:pPr>
      <w:r>
        <w:rPr>
          <w:b/>
        </w:rPr>
        <w:t xml:space="preserve">Fuentes  </w:t>
      </w:r>
      <w:hyperlink w:anchor="s_EN011">
        <w:r>
          <w:rPr>
            <w:color w:val="245C88"/>
            <w:u w:val="single"/>
          </w:rPr>
          <w:t>EN011</w:t>
        </w:r>
      </w:hyperlink>
      <w:r>
        <w:t xml:space="preserve">  ·  Trámite URSEC Registro de aerogeneradores; actualización 27/07/2026.</w:t>
      </w:r>
      <w:r>
        <w:t xml:space="preserve">  ·  Período: Situación documental consultada al 19/10/2026; revisar ante cada inversión.</w:t>
      </w:r>
    </w:p>
    <w:p>
      <w:bookmarkStart w:id="18" w:name="r_EN_015"/>
      <w:pPr>
        <w:pStyle w:val="Heading2"/>
      </w:pPr>
      <w:r>
        <w:t>Evaluación eólica paisaje aves murciélagos ruido y sombra</w:t>
      </w:r>
      <w:bookmarkEnd w:id="18"/>
    </w:p>
    <w:p>
      <w:pPr>
        <w:pStyle w:val="RecordMeta"/>
      </w:pPr>
      <w:r>
        <w:t>EN-015  ·  Hecho con aplicación o inferencia  ·  Z1, Z2, Z3, Z4, Z5, Z6, Z7</w:t>
      </w:r>
    </w:p>
    <w:p>
      <w:r>
        <w:t>Al corte del 19/10/2026, la guía técnica del Ministerio de Ambiente para evaluación de parques eólicos orienta el análisis de localización y de impactos sobre paisaje, biodiversidad, ruido, sombra y seguridad. Es material técnico para preparar y evaluar estudios; sus recomendaciones deben distinguirse de las prohibiciones legales y de las condiciones de un permiso particular. Para los paisajes serranos de Lavalleja, una prefactibilidad debe identificar receptores, rutas panorámicas, patrimonio y efectos acumulativos junto con recurso y acceso eléctrico. No corresponde extraer una separación numérica de un proyecto histórico y presentarla como distancia universal obligatoria para todo Uruguay. Las reglas departamentales y de áreas protegidas pueden excluir ubicaciones aunque una simulación acústica o de producción sea favorable. La configuración final debe quedar sustentada por estudios del sitio y las decisiones de las autoridades competentes.</w:t>
      </w:r>
    </w:p>
    <w:p>
      <w:pPr>
        <w:pStyle w:val="RecordConditions"/>
      </w:pPr>
      <w:r>
        <w:rPr>
          <w:b/>
        </w:rPr>
        <w:t xml:space="preserve">Condiciones  </w:t>
      </w:r>
      <w:r>
        <w:t>Guía técnica no equivale a habilitación territorial ni a autorización ambiental. No convertir distancias de un caso o recomendación en regla universal. Cumplir prohibiciones y condiciones locales además de evaluar impactos.</w:t>
      </w:r>
    </w:p>
    <w:p>
      <w:pPr>
        <w:pStyle w:val="SourceNote"/>
      </w:pPr>
      <w:r>
        <w:rPr>
          <w:b/>
        </w:rPr>
        <w:t xml:space="preserve">Fuentes  </w:t>
      </w:r>
      <w:hyperlink w:anchor="s_EN012">
        <w:r>
          <w:rPr>
            <w:color w:val="245C88"/>
            <w:u w:val="single"/>
          </w:rPr>
          <w:t>EN012</w:t>
        </w:r>
      </w:hyperlink>
      <w:r>
        <w:t xml:space="preserve">, </w:t>
      </w:r>
      <w:hyperlink w:anchor="s_EN001">
        <w:r>
          <w:rPr>
            <w:color w:val="245C88"/>
            <w:u w:val="single"/>
          </w:rPr>
          <w:t>EN001</w:t>
        </w:r>
      </w:hyperlink>
      <w:r>
        <w:t xml:space="preserve">, </w:t>
      </w:r>
      <w:hyperlink w:anchor="s_EN002">
        <w:r>
          <w:rPr>
            <w:color w:val="245C88"/>
            <w:u w:val="single"/>
          </w:rPr>
          <w:t>EN002</w:t>
        </w:r>
      </w:hyperlink>
      <w:r>
        <w:t xml:space="preserve">, </w:t>
      </w:r>
      <w:hyperlink w:anchor="s_EN003">
        <w:r>
          <w:rPr>
            <w:color w:val="245C88"/>
            <w:u w:val="single"/>
          </w:rPr>
          <w:t>EN003</w:t>
        </w:r>
      </w:hyperlink>
      <w:r>
        <w:t xml:space="preserve">  ·  Guía GU-EIA-006-00, 01/07/2015; apartados sobre localización e impactos; instrumentos territoriales citados.</w:t>
      </w:r>
      <w:r>
        <w:t xml:space="preserve">  ·  Período: Situación documental consultada al 19/10/2026; revisar ante cada inversión.</w:t>
      </w:r>
    </w:p>
    <w:p>
      <w:bookmarkStart w:id="19" w:name="r_EN_016"/>
      <w:pPr>
        <w:pStyle w:val="Heading2"/>
      </w:pPr>
      <w:r>
        <w:t>Operación eólica renovación de AAO y servicios de seguimiento</w:t>
      </w:r>
      <w:bookmarkEnd w:id="19"/>
    </w:p>
    <w:p>
      <w:pPr>
        <w:pStyle w:val="RecordMeta"/>
      </w:pPr>
      <w:r>
        <w:t>EN-016  ·  Hecho con aplicación o inferencia  ·  Z1, Z2, Z3, Z4, Z5, Z6, Z7</w:t>
      </w:r>
    </w:p>
    <w:p>
      <w:r>
        <w:t>Al corte del 19/10/2026, el Ministerio de Ambiente publica la Resolución 561/018, del 14/05/2018, que aprobó el instructivo para solicitar la renovación de la Autorización Ambiental de Operación de parques eólicos. La existencia de este procedimiento muestra que la gestión ambiental continúa durante la explotación y debe comprobarse para el parque específico. Como línea de servicios a evaluar en Lavalleja, pueden considerarse seguimiento ambiental, mediciones y preparación de documentación por profesionales competentes, de acuerdo con los requerimientos reales de cada expediente. No se verificaron contratos disponibles ni un volumen local de demanda para estos servicios. Para adquirir o financiar un parque existente, revisar resolución operativa, vencimientos, condiciones y antecedentes de cumplimiento; la inscripción como generador en ADME no sustituye esa revisión ambiental.</w:t>
      </w:r>
    </w:p>
    <w:p>
      <w:pPr>
        <w:pStyle w:val="RecordConditions"/>
      </w:pPr>
      <w:r>
        <w:rPr>
          <w:b/>
        </w:rPr>
        <w:t xml:space="preserve">Condiciones  </w:t>
      </w:r>
      <w:r>
        <w:t>Consultar AAO, vencimientos y condiciones del parque concreto. Un registro eléctrico no acredita por sí solo cumplimiento ambiental operativo. Servicios propuestos son una línea de inversión condicionada, sin contratos verificados.</w:t>
      </w:r>
    </w:p>
    <w:p>
      <w:pPr>
        <w:pStyle w:val="SourceNote"/>
      </w:pPr>
      <w:r>
        <w:rPr>
          <w:b/>
        </w:rPr>
        <w:t xml:space="preserve">Fuentes  </w:t>
      </w:r>
      <w:hyperlink w:anchor="s_EN013">
        <w:r>
          <w:rPr>
            <w:color w:val="245C88"/>
            <w:u w:val="single"/>
          </w:rPr>
          <w:t>EN013</w:t>
        </w:r>
      </w:hyperlink>
      <w:r>
        <w:t xml:space="preserve">, </w:t>
      </w:r>
      <w:hyperlink w:anchor="s_EN012">
        <w:r>
          <w:rPr>
            <w:color w:val="245C88"/>
            <w:u w:val="single"/>
          </w:rPr>
          <w:t>EN012</w:t>
        </w:r>
      </w:hyperlink>
      <w:r>
        <w:t xml:space="preserve">, </w:t>
      </w:r>
      <w:hyperlink w:anchor="s_EN032">
        <w:r>
          <w:rPr>
            <w:color w:val="245C88"/>
            <w:u w:val="single"/>
          </w:rPr>
          <w:t>EN032</w:t>
        </w:r>
      </w:hyperlink>
      <w:r>
        <w:t xml:space="preserve">  ·  Resolución MA 561/018 y su instructivo de renovación de AAO eólica.</w:t>
      </w:r>
      <w:r>
        <w:t xml:space="preserve">  ·  Período: Situación documental consultada al 19/10/2026; revisar ante cada inversión.</w:t>
      </w:r>
    </w:p>
    <w:p>
      <w:bookmarkStart w:id="20" w:name="r_EN_017"/>
      <w:pPr>
        <w:pStyle w:val="Heading2"/>
      </w:pPr>
      <w:r>
        <w:t>Autoconsumo 2026 registro hasta 150 kW y autorización por encima</w:t>
      </w:r>
      <w:bookmarkEnd w:id="20"/>
    </w:p>
    <w:p>
      <w:pPr>
        <w:pStyle w:val="RecordMeta"/>
      </w:pPr>
      <w:r>
        <w:t>EN-017  ·  Hecho o requisito documentado  ·  Z1, Z2, Z3, Z4, Z5, Z6, Z7</w:t>
      </w:r>
    </w:p>
    <w:p>
      <w:r>
        <w:t>Al corte del 19/10/2026, la ficha DNE actualizada el 03/08/2026 establece que todas las centrales eléctricas para autoconsumo deben registrarse o solicitar autorización, tanto conectadas como aisladas de la red. Hasta 150 kW de potencia instalada inclusive corresponde registro; por encima de 150 kW se requiere un acto administrativo expreso de autorización. La información incluye titular, localización, fuente, potencia, baterías e instalador, con documentación adicional para la autorización. Este umbral no es el de la Autorización Ambiental Previa ni una exención de normas territoriales. Se aplica a proyectos en establecimientos rurales, industrias, comercios y alojamientos de Lavalleja según su configuración. Antes de contratar, definir si el objetivo es autoconsumo y dimensionar la instalación en ese régimen; no clasificar automáticamente una planta destinada a vender energía como autoconsumo por estar instalada dentro de un establecimiento.</w:t>
      </w:r>
    </w:p>
    <w:p>
      <w:pPr>
        <w:pStyle w:val="RecordConditions"/>
      </w:pPr>
      <w:r>
        <w:rPr>
          <w:b/>
        </w:rPr>
        <w:t xml:space="preserve">Condiciones  </w:t>
      </w:r>
      <w:r>
        <w:t>Registro ≤150 kW; autorización expresa &gt;150 kW. El deber alcanza centrales aisladas y conectadas. No confundir umbral DNE con AAP ni con permiso territorial.</w:t>
      </w:r>
    </w:p>
    <w:p>
      <w:pPr>
        <w:pStyle w:val="SourceNote"/>
      </w:pPr>
      <w:r>
        <w:rPr>
          <w:b/>
        </w:rPr>
        <w:t xml:space="preserve">Fuentes  </w:t>
      </w:r>
      <w:hyperlink w:anchor="s_EN014">
        <w:r>
          <w:rPr>
            <w:color w:val="245C88"/>
            <w:u w:val="single"/>
          </w:rPr>
          <w:t>EN014</w:t>
        </w:r>
      </w:hyperlink>
      <w:r>
        <w:t xml:space="preserve">  ·  Trámite DNE Registro o autorización de generación en suscriptor, actualización 03/08/2026.</w:t>
      </w:r>
      <w:r>
        <w:t xml:space="preserve">  ·  Período: Situación documental consultada al 19/10/2026; revisar ante cada inversión.</w:t>
      </w:r>
    </w:p>
    <w:p>
      <w:bookmarkStart w:id="21" w:name="r_EN_018"/>
      <w:pPr>
        <w:pStyle w:val="Heading2"/>
      </w:pPr>
      <w:r>
        <w:t>Autoconsumo conectado conformidad UTE y constancia DNE desde 2026</w:t>
      </w:r>
      <w:bookmarkEnd w:id="21"/>
    </w:p>
    <w:p>
      <w:pPr>
        <w:pStyle w:val="RecordMeta"/>
      </w:pPr>
      <w:r>
        <w:t>EN-018  ·  Hecho o requisito documentado  ·  Z1, Z2, Z3, Z4, Z5, Z6, Z7</w:t>
      </w:r>
    </w:p>
    <w:p>
      <w:r>
        <w:t>Al corte del 19/10/2026, UTE exige consultar la conexión de instalaciones para autoconsumo a fin de establecer su conformidad y costos. La modalidad abarca generación y/o acumulación en paralelo con redes de baja o media tensión. Para el suscriptor con generación se prevén convenio de conexión, contrato de suministro y contrato de compraventa de energía. UTE informa que, por resolución MIEM del 08/04/2026, las gestiones para conectar generación o acumulación en paralelo bajo cualquier modalidad deben acompañar el registro o autorización DNE que corresponda. Para personas jurídicas que contraten inyección, UTE exige RUPE activo y facturación conforme a DGI. Estos pasos afectan también paneles y baterías destinados a una pyme o alojamiento de Lavalleja; instalar equipos no reemplaza la conformidad de conexión ni las obligaciones del régimen seleccionado.</w:t>
      </w:r>
    </w:p>
    <w:p>
      <w:pPr>
        <w:pStyle w:val="RecordConditions"/>
      </w:pPr>
      <w:r>
        <w:rPr>
          <w:b/>
        </w:rPr>
        <w:t xml:space="preserve">Condiciones  </w:t>
      </w:r>
      <w:r>
        <w:t>Consulta y conformidad de UTE antes de conectar en paralelo. Acompañar constancia DNE/MIEM correspondiente según requisito comunicado en 2026. Personas jurídicas con inyección: verificar RUPE activo y facturación DGI.</w:t>
      </w:r>
    </w:p>
    <w:p>
      <w:pPr>
        <w:pStyle w:val="SourceNote"/>
      </w:pPr>
      <w:r>
        <w:rPr>
          <w:b/>
        </w:rPr>
        <w:t xml:space="preserve">Fuentes  </w:t>
      </w:r>
      <w:hyperlink w:anchor="s_EN016">
        <w:r>
          <w:rPr>
            <w:color w:val="245C88"/>
            <w:u w:val="single"/>
          </w:rPr>
          <w:t>EN016</w:t>
        </w:r>
      </w:hyperlink>
      <w:r>
        <w:t xml:space="preserve">, </w:t>
      </w:r>
      <w:hyperlink w:anchor="s_EN014">
        <w:r>
          <w:rPr>
            <w:color w:val="245C88"/>
            <w:u w:val="single"/>
          </w:rPr>
          <w:t>EN014</w:t>
        </w:r>
      </w:hyperlink>
      <w:r>
        <w:t xml:space="preserve">  ·  UTE Suscriptores, apartados Requisitos y condiciones y Trámite; aviso MIEM 08/04/2026.</w:t>
      </w:r>
      <w:r>
        <w:t xml:space="preserve">  ·  Período: Situación documental consultada al 19/10/2026; revisar ante cada inversión.</w:t>
      </w:r>
    </w:p>
    <w:p>
      <w:bookmarkStart w:id="22" w:name="r_EN_019"/>
      <w:pPr>
        <w:pStyle w:val="Heading2"/>
      </w:pPr>
      <w:r>
        <w:t>Excedentes de autoconsumo precio spot y límite con baterías</w:t>
      </w:r>
      <w:bookmarkEnd w:id="22"/>
    </w:p>
    <w:p>
      <w:pPr>
        <w:pStyle w:val="RecordMeta"/>
      </w:pPr>
      <w:r>
        <w:t>EN-019  ·  Hecho con aplicación o inferencia  ·  Z1, Z2, Z3, Z4, Z5, Z6, Z7</w:t>
      </w:r>
    </w:p>
    <w:p>
      <w:r>
        <w:t>Al corte del 19/10/2026, el artículo 4 del Decreto 147/023 establece límites al balance anual de los suscriptores con generación y/o acumulación. La electricidad inyectada durante el año no puede superar la electricidad consumida desde la red; cuando hay baterías, la inyección se limita al 30% de ese consumo. UTE adquiere la energía al precio spot horario de ADME dentro del régimen aplicable, que también prevé consecuencias por exceder los límites. El texto actualizado incorpora modificaciones transitorias del Decreto 124/024. Para un proyecto en Lavalleja, el flujo de fondos debe separar ahorro por consumo propio, valor de las inyecciones y costo de almacenamiento. No es correcto valorar todos los kilovatios hora producidos al precio minorista de la factura ni prometer una tarifa fija de venta. Dimensionar requiere el perfil horario y anual del establecimiento.</w:t>
      </w:r>
    </w:p>
    <w:p>
      <w:pPr>
        <w:pStyle w:val="RecordConditions"/>
      </w:pPr>
      <w:r>
        <w:rPr>
          <w:b/>
        </w:rPr>
        <w:t xml:space="preserve">Condiciones  </w:t>
      </w:r>
      <w:r>
        <w:t>Inyección anual ≤consumo anual desde red; con baterías ≤30% de ese consumo. Compra a precio spot horario, sin tarifa fija garantizada. Modelar autoconsumo, excedentes y almacenamiento por separado.</w:t>
      </w:r>
    </w:p>
    <w:p>
      <w:pPr>
        <w:pStyle w:val="SourceNote"/>
      </w:pPr>
      <w:r>
        <w:rPr>
          <w:b/>
        </w:rPr>
        <w:t xml:space="preserve">Fuentes  </w:t>
      </w:r>
      <w:hyperlink w:anchor="s_EN015">
        <w:r>
          <w:rPr>
            <w:color w:val="245C88"/>
            <w:u w:val="single"/>
          </w:rPr>
          <w:t>EN015</w:t>
        </w:r>
      </w:hyperlink>
      <w:r>
        <w:t xml:space="preserve">, </w:t>
      </w:r>
      <w:hyperlink w:anchor="s_EN016">
        <w:r>
          <w:rPr>
            <w:color w:val="245C88"/>
            <w:u w:val="single"/>
          </w:rPr>
          <w:t>EN016</w:t>
        </w:r>
      </w:hyperlink>
      <w:r>
        <w:t xml:space="preserve">  ·  Decreto 147/023, art. 4, texto actualizado con 124/024; UTE Suscriptores.</w:t>
      </w:r>
      <w:r>
        <w:t xml:space="preserve">  ·  Período: Situación documental consultada al 19/10/2026; revisar ante cada inversión.</w:t>
      </w:r>
    </w:p>
    <w:p>
      <w:bookmarkStart w:id="23" w:name="r_EN_020"/>
      <w:pPr>
        <w:pStyle w:val="Heading2"/>
      </w:pPr>
      <w:r>
        <w:t>Solar fotovoltaica en empresas agro y turismo hipótesis por consumo</w:t>
      </w:r>
      <w:bookmarkEnd w:id="23"/>
    </w:p>
    <w:p>
      <w:pPr>
        <w:pStyle w:val="RecordMeta"/>
      </w:pPr>
      <w:r>
        <w:t>EN-020  ·  Hipótesis de inversión  ·  Z1, Z2, Z3, Z4, Z5, Z6, Z7</w:t>
      </w:r>
    </w:p>
    <w:p>
      <w:r>
        <w:t>Al corte del 19/10/2026, el régimen nacional de autoconsumo permite evaluar generación solar en instalaciones consumidoras de Lavalleja, con registro o autorización DNE y conexión UTE cuando corresponda. Como hipótesis de inversión, estudiar techos y superficies existentes en empresas de Minas y Solís de Mataojo, servicios agropecuarios de José Pedro Varela, Mariscala, Pirarajá, José Batlle y Ordóñez y Zapicán, y establecimientos turísticos del entorno serrano. La selección debe apoyarse en consumo horario, tarifa, estado estructural, sombra, superficie, mantenimiento y condiciones del inmueble. Esta enumeración identifica lugares donde investigar demanda, sin afirmar que existan clientes contratados o superficies habilitadas. El mapa solar oficial orienta el recurso, pero no sustituye el diseño y la estimación de producción del sitio. En Villa Serrana y otras áreas con reglas especiales se debe verificar compatibilidad arquitectónica y territorial antes de instalar.</w:t>
      </w:r>
    </w:p>
    <w:p>
      <w:pPr>
        <w:pStyle w:val="RecordConditions"/>
      </w:pPr>
      <w:r>
        <w:rPr>
          <w:b/>
        </w:rPr>
        <w:t xml:space="preserve">Condiciones  </w:t>
      </w:r>
      <w:r>
        <w:t>Hipótesis de demanda local; no clientes, techos disponibles o retornos verificados. Validar recurso, consumo y condiciones técnicas del inmueble. Cumplir régimen DNE, UTE y normativa territorial aplicable.</w:t>
      </w:r>
    </w:p>
    <w:p>
      <w:pPr>
        <w:pStyle w:val="SourceNote"/>
      </w:pPr>
      <w:r>
        <w:rPr>
          <w:b/>
        </w:rPr>
        <w:t xml:space="preserve">Fuentes  </w:t>
      </w:r>
      <w:hyperlink w:anchor="s_EN014">
        <w:r>
          <w:rPr>
            <w:color w:val="245C88"/>
            <w:u w:val="single"/>
          </w:rPr>
          <w:t>EN014</w:t>
        </w:r>
      </w:hyperlink>
      <w:r>
        <w:t xml:space="preserve">, </w:t>
      </w:r>
      <w:hyperlink w:anchor="s_EN018">
        <w:r>
          <w:rPr>
            <w:color w:val="245C88"/>
            <w:u w:val="single"/>
          </w:rPr>
          <w:t>EN018</w:t>
        </w:r>
      </w:hyperlink>
      <w:r>
        <w:t xml:space="preserve">, </w:t>
      </w:r>
      <w:hyperlink w:anchor="s_EN002">
        <w:r>
          <w:rPr>
            <w:color w:val="245C88"/>
            <w:u w:val="single"/>
          </w:rPr>
          <w:t>EN002</w:t>
        </w:r>
      </w:hyperlink>
      <w:r>
        <w:t xml:space="preserve">  ·  DNE autoconsumo; Mapa Solar; Plan Local de Villa Serrana para inmuebles dentro de su ámbito.</w:t>
      </w:r>
      <w:r>
        <w:t xml:space="preserve">  ·  Período: Situación documental consultada al 19/10/2026; revisar ante cada inversión.</w:t>
      </w:r>
    </w:p>
    <w:p>
      <w:bookmarkStart w:id="24" w:name="r_EN_021"/>
      <w:pPr>
        <w:pStyle w:val="Heading2"/>
      </w:pPr>
      <w:r>
        <w:t>Parques solares mapa de recurso y guía preliminar no habilitan sitios</w:t>
      </w:r>
      <w:bookmarkEnd w:id="24"/>
    </w:p>
    <w:p>
      <w:pPr>
        <w:pStyle w:val="RecordMeta"/>
      </w:pPr>
      <w:r>
        <w:t>EN-021  ·  Hecho con aplicación o inferencia  ·  Z1, Z2, Z3, Z4, Z5, Z6, Z7</w:t>
      </w:r>
    </w:p>
    <w:p>
      <w:r>
        <w:t>Al corte del 19/10/2026, el MIEM ofrece publicaciones y un Mapa Solar del Uruguay cuya primera versión corresponde a 2009–2010. Sirve como referencia climática para una comparación inicial y debe conservar su fecha original; no es una garantía de rendimiento de una planta en 2026. Para una central solar de gran escala en Lavalleja se requieren estudio del sitio, compatibilidad territorial, evaluación ambiental según el alcance de las obras y solución de conexión. No se verificó una zonificación departamental que habilite genéricamente parques solares en una localidad. La guía fotovoltaica del Ministerio de Ambiente localizada en esta revisión está identificada como preliminar o de consulta, de septiembre de 2021; no debe citarse como decreto ni como versión final obligatoria. El recurso favorable, por sí mismo, no acredita disponibilidad del suelo o de la red.</w:t>
      </w:r>
    </w:p>
    <w:p>
      <w:pPr>
        <w:pStyle w:val="RecordConditions"/>
      </w:pPr>
      <w:r>
        <w:rPr>
          <w:b/>
        </w:rPr>
        <w:t xml:space="preserve">Condiciones  </w:t>
      </w:r>
      <w:r>
        <w:t>Mapa solar histórico y guía preliminar deben conservar fecha y estado. No hay habilitación local genérica verificada para parques solares. Requiere análisis territorial, ambiental y eléctrico específico.</w:t>
      </w:r>
    </w:p>
    <w:p>
      <w:pPr>
        <w:pStyle w:val="SourceNote"/>
      </w:pPr>
      <w:r>
        <w:rPr>
          <w:b/>
        </w:rPr>
        <w:t xml:space="preserve">Fuentes  </w:t>
      </w:r>
      <w:hyperlink w:anchor="s_EN017">
        <w:r>
          <w:rPr>
            <w:color w:val="245C88"/>
            <w:u w:val="single"/>
          </w:rPr>
          <w:t>EN017</w:t>
        </w:r>
      </w:hyperlink>
      <w:r>
        <w:t xml:space="preserve">, </w:t>
      </w:r>
      <w:hyperlink w:anchor="s_EN018">
        <w:r>
          <w:rPr>
            <w:color w:val="245C88"/>
            <w:u w:val="single"/>
          </w:rPr>
          <w:t>EN018</w:t>
        </w:r>
      </w:hyperlink>
      <w:r>
        <w:t xml:space="preserve">, </w:t>
      </w:r>
      <w:hyperlink w:anchor="s_EN019">
        <w:r>
          <w:rPr>
            <w:color w:val="245C88"/>
            <w:u w:val="single"/>
          </w:rPr>
          <w:t>EN019</w:t>
        </w:r>
      </w:hyperlink>
      <w:r>
        <w:t xml:space="preserve">, </w:t>
      </w:r>
      <w:hyperlink w:anchor="s_EN006">
        <w:r>
          <w:rPr>
            <w:color w:val="245C88"/>
            <w:u w:val="single"/>
          </w:rPr>
          <w:t>EN006</w:t>
        </w:r>
      </w:hyperlink>
      <w:r>
        <w:t xml:space="preserve">, </w:t>
      </w:r>
      <w:hyperlink w:anchor="s_EN009">
        <w:r>
          <w:rPr>
            <w:color w:val="245C88"/>
            <w:u w:val="single"/>
          </w:rPr>
          <w:t>EN009</w:t>
        </w:r>
      </w:hyperlink>
      <w:r>
        <w:t xml:space="preserve">  ·  MIEM Mapa Solar y repositorio; MA guía preliminar septiembre 2021; Decreto 349/005 art. 2.</w:t>
      </w:r>
      <w:r>
        <w:t xml:space="preserve">  ·  Período: Situación documental consultada al 19/10/2026; revisar ante cada inversión.</w:t>
      </w:r>
    </w:p>
    <w:p>
      <w:bookmarkStart w:id="25" w:name="r_EN_022"/>
      <w:pPr>
        <w:pStyle w:val="Heading2"/>
      </w:pPr>
      <w:r>
        <w:t>Solar térmica en turismo salud y deporte obligación condicionada</w:t>
      </w:r>
      <w:bookmarkEnd w:id="25"/>
    </w:p>
    <w:p>
      <w:pPr>
        <w:pStyle w:val="RecordMeta"/>
      </w:pPr>
      <w:r>
        <w:t>EN-022  ·  Hecho o requisito documentado  ·  Z1, Z2, Z3, Z4, Z5, Z6, Z7</w:t>
      </w:r>
    </w:p>
    <w:p>
      <w:r>
        <w:t>Al corte del 19/10/2026, los artículos 3–5 de la Ley 18.585 alcanzan nuevas construcciones o rehabilitaciones integrales de hoteles, centros de salud y clubes deportivos cuando el consumo previsto para agua caliente supera el 20% del consumo energético total. En los casos alcanzados, el sistema solar térmico debe aportar al menos 50% de la energía para calentamiento de agua, sujeto al régimen de excepciones y reglamentación. El instructivo técnico 2022 publicado por URSEA incluye diversas modalidades de alojamiento, como hotelería de campo, estancias turísticas, posadas y campings, y establece la documentación aplicable. Para proyectos turísticos de Lavalleja, corresponde estudiar el encuadre desde el diseño, junto con normas paisajísticas y constructivas del inmueble. No se puede ofrecer una exoneración automática por sombras o por una declaración informal de bajo consumo; la justificación debe seguir el procedimiento competente.</w:t>
      </w:r>
    </w:p>
    <w:p>
      <w:pPr>
        <w:pStyle w:val="RecordConditions"/>
      </w:pPr>
      <w:r>
        <w:rPr>
          <w:b/>
        </w:rPr>
        <w:t xml:space="preserve">Condiciones  </w:t>
      </w:r>
      <w:r>
        <w:t>Verificar destino, tipo de obra y umbral de consumo para agua caliente. Cuando aplica: aporte solar térmico mínimo de 50% para calentamiento de agua. Excepciones sujetas a justificación y procedimiento; no exoneración automática.</w:t>
      </w:r>
    </w:p>
    <w:p>
      <w:pPr>
        <w:pStyle w:val="SourceNote"/>
      </w:pPr>
      <w:r>
        <w:rPr>
          <w:b/>
        </w:rPr>
        <w:t xml:space="preserve">Fuentes  </w:t>
      </w:r>
      <w:hyperlink w:anchor="s_EN020">
        <w:r>
          <w:rPr>
            <w:color w:val="245C88"/>
            <w:u w:val="single"/>
          </w:rPr>
          <w:t>EN020</w:t>
        </w:r>
      </w:hyperlink>
      <w:r>
        <w:t xml:space="preserve">, </w:t>
      </w:r>
      <w:hyperlink w:anchor="s_EN021">
        <w:r>
          <w:rPr>
            <w:color w:val="245C88"/>
            <w:u w:val="single"/>
          </w:rPr>
          <w:t>EN021</w:t>
        </w:r>
      </w:hyperlink>
      <w:r>
        <w:t xml:space="preserve">  ·  Ley 18.585 arts. 3–5; Instructivo Técnico 2022 publicado por Resolución URSEA 183/022.</w:t>
      </w:r>
      <w:r>
        <w:t xml:space="preserve">  ·  Período: Situación documental consultada al 19/10/2026; revisar ante cada inversión.</w:t>
      </w:r>
    </w:p>
    <w:p>
      <w:bookmarkStart w:id="26" w:name="r_EN_023"/>
      <w:pPr>
        <w:pStyle w:val="Heading2"/>
      </w:pPr>
      <w:r>
        <w:t>Biomasa sólida y cogeneración junto a demanda de calor</w:t>
      </w:r>
      <w:bookmarkEnd w:id="26"/>
    </w:p>
    <w:p>
      <w:pPr>
        <w:pStyle w:val="RecordMeta"/>
      </w:pPr>
      <w:r>
        <w:t>EN-023  ·  Hipótesis de inversión  ·  Z1, Z2, Z5</w:t>
      </w:r>
    </w:p>
    <w:p>
      <w:r>
        <w:t>Al corte del 19/10/2026, el MIEM distingue tecnologías de generación y cogeneración con biomasa según escala y características del combustible. Como hipótesis de inversión en Lavalleja, evaluar calor de proceso y cogeneración vinculados con demanda industrial real, así como acondicionamiento, secado, acopio y suministro de subproductos de madera o molinería. Minas, Solís de Mataojo y José Pedro Varela son referencias comerciales para investigar posibles usuarios; esta ficha no demuestra la existencia de biomasa libre o compradores dispuestos a contratar. La prefactibilidad requiere cantidad recuperable actual, humedad, composición, contaminantes, estacionalidad, usos competidores y costo entregado. Los residuos no son intercambiables entre tecnologías sin caracterización. Deben incluirse emisiones, almacenamiento, tránsito, prevención de incendios y permisos. La venta de electricidad, si se propone, agrega requisitos de generación, mercado y conexión a los de la solución térmica.</w:t>
      </w:r>
    </w:p>
    <w:p>
      <w:pPr>
        <w:pStyle w:val="RecordConditions"/>
      </w:pPr>
      <w:r>
        <w:rPr>
          <w:b/>
        </w:rPr>
        <w:t xml:space="preserve">Condiciones  </w:t>
      </w:r>
      <w:r>
        <w:t>Hipótesis condicionada a combustible caracterizado y suministro verificable. Identificar demanda de calor y costo entregado; no asumir residuo gratuito. Verificar permisos de la instalación y requisitos eléctricos si vende energía.</w:t>
      </w:r>
    </w:p>
    <w:p>
      <w:pPr>
        <w:pStyle w:val="SourceNote"/>
      </w:pPr>
      <w:r>
        <w:rPr>
          <w:b/>
        </w:rPr>
        <w:t xml:space="preserve">Fuentes  </w:t>
      </w:r>
      <w:hyperlink w:anchor="s_EN022">
        <w:r>
          <w:rPr>
            <w:color w:val="245C88"/>
            <w:u w:val="single"/>
          </w:rPr>
          <w:t>EN022</w:t>
        </w:r>
      </w:hyperlink>
      <w:r>
        <w:t xml:space="preserve">, </w:t>
      </w:r>
      <w:hyperlink w:anchor="s_EN023">
        <w:r>
          <w:rPr>
            <w:color w:val="245C88"/>
            <w:u w:val="single"/>
          </w:rPr>
          <w:t>EN023</w:t>
        </w:r>
      </w:hyperlink>
      <w:r>
        <w:t xml:space="preserve">, </w:t>
      </w:r>
      <w:hyperlink w:anchor="s_EN008">
        <w:r>
          <w:rPr>
            <w:color w:val="245C88"/>
            <w:u w:val="single"/>
          </w:rPr>
          <w:t>EN008</w:t>
        </w:r>
      </w:hyperlink>
      <w:r>
        <w:t xml:space="preserve">  ·  MIEM Generación de energía a partir de biomasa, 01/07/2022; mapas Biovalor para prospección.</w:t>
      </w:r>
      <w:r>
        <w:t xml:space="preserve">  ·  Período: Situación documental consultada al 19/10/2026; revisar ante cada inversión.</w:t>
      </w:r>
    </w:p>
    <w:p>
      <w:bookmarkStart w:id="27" w:name="r_EN_024"/>
      <w:pPr>
        <w:pStyle w:val="Heading2"/>
      </w:pPr>
      <w:r>
        <w:t>Biogás mapas Biovalor por sector y sección policial</w:t>
      </w:r>
      <w:bookmarkEnd w:id="27"/>
    </w:p>
    <w:p>
      <w:pPr>
        <w:pStyle w:val="RecordMeta"/>
      </w:pPr>
      <w:r>
        <w:t>EN-024  ·  Hecho con aplicación o inferencia  ·  Z1, Z2, Z3, Z4, Z5, Z6, Z7</w:t>
      </w:r>
    </w:p>
    <w:p>
      <w:r>
        <w:t>Al corte del 19/10/2026, el repositorio oficial de mapas Biovalor permite explorar residuos de tambos, porcinos, engorde a corral, frigoríficos, molinería y otras industrias, con agregaciones territoriales y mapas de potencial energético. Aunque la página se publicó el 06/05/2025, reúne trabajo del proyecto 2014–2020 y varias capas de 2016/2017. No debe anunciarse como inventario de recursos disponibles en 2025 o 2026. Para Lavalleja, es una base de prospección que debe actualizarse identificando generadores actuales, volúmenes efectivamente colectables, distancia de transporte y alternativas de gestión. Las secciones policiales de estos mapas no son las zonas comerciales Z1–Z7. Como criterio técnico de selección, buscar concentraciones recuperables y demanda de energía o tratamiento; la sola existencia de ganadería extensiva no prueba disponibilidad económica de estiércol para biodigestión.</w:t>
      </w:r>
    </w:p>
    <w:p>
      <w:pPr>
        <w:pStyle w:val="RecordConditions"/>
      </w:pPr>
      <w:r>
        <w:rPr>
          <w:b/>
        </w:rPr>
        <w:t xml:space="preserve">Condiciones  </w:t>
      </w:r>
      <w:r>
        <w:t>Datos históricos de Biovalor; republicación 2025 no actualiza cantidades. Verificar generadores, volumen colectable y logística actual. Sección policial y zona comercial no son unidades equivalentes.</w:t>
      </w:r>
    </w:p>
    <w:p>
      <w:pPr>
        <w:pStyle w:val="SourceNote"/>
      </w:pPr>
      <w:r>
        <w:rPr>
          <w:b/>
        </w:rPr>
        <w:t xml:space="preserve">Fuentes  </w:t>
      </w:r>
      <w:hyperlink w:anchor="s_EN023">
        <w:r>
          <w:rPr>
            <w:color w:val="245C88"/>
            <w:u w:val="single"/>
          </w:rPr>
          <w:t>EN023</w:t>
        </w:r>
      </w:hyperlink>
      <w:r>
        <w:t xml:space="preserve">, </w:t>
      </w:r>
      <w:hyperlink w:anchor="s_EN024">
        <w:r>
          <w:rPr>
            <w:color w:val="245C88"/>
            <w:u w:val="single"/>
          </w:rPr>
          <w:t>EN024</w:t>
        </w:r>
      </w:hyperlink>
      <w:r>
        <w:t xml:space="preserve">  ·  MIEM Mapas Biovalor, 06/05/2025; fechas impresas en cada capa sectorial.</w:t>
      </w:r>
      <w:r>
        <w:t xml:space="preserve">  ·  Período: Situación documental consultada al 19/10/2026; revisar ante cada inversión.</w:t>
      </w:r>
    </w:p>
    <w:p>
      <w:bookmarkStart w:id="28" w:name="r_EN_025"/>
      <w:pPr>
        <w:pStyle w:val="Heading2"/>
      </w:pPr>
      <w:r>
        <w:t>Biogás biometano y digestato evaluar la cadena completa</w:t>
      </w:r>
      <w:bookmarkEnd w:id="28"/>
    </w:p>
    <w:p>
      <w:pPr>
        <w:pStyle w:val="RecordMeta"/>
      </w:pPr>
      <w:r>
        <w:t>EN-025  ·  Hipótesis de inversión  ·  Z1, Z2, Z3, Z4, Z5, Z6, Z7</w:t>
      </w:r>
    </w:p>
    <w:p>
      <w:r>
        <w:t>Al corte del 19/10/2026, los documentos técnicos Biovalor publicados por MIEM contienen estudios históricos de digestión anaerobia, replicabilidad de biogás en tambos, biometano y valorización de nutrientes. Pueden apoyar una prefactibilidad en Lavalleja, conservando sus fechas y sin convertir sus costos en precios actuales. Como hipótesis, combinar tratamiento de efluentes o residuos concentrados con aprovechamiento térmico, eléctrico o de combustible, según la tecnología y la demanda real. Deben distinguirse ingresos por tratamiento, ahorro de energía y eventual valorización del digestato, evitando sumarlos como ventas seguras. El estudio debe demostrar continuidad del sustrato, control del proceso, operación, gestión de olores y destino permitido del digestato. Un biodigestor no elimina por sí mismo las obligaciones sobre efluentes y residuos. No se verificó una cartera local de plantas de biometano aprobadas ni contratos de compra disponibles.</w:t>
      </w:r>
    </w:p>
    <w:p>
      <w:pPr>
        <w:pStyle w:val="RecordConditions"/>
      </w:pPr>
      <w:r>
        <w:rPr>
          <w:b/>
        </w:rPr>
        <w:t xml:space="preserve">Condiciones  </w:t>
      </w:r>
      <w:r>
        <w:t>Estudios históricos: actualizar ingeniería, costos y demanda. Comprobar suministro y destino del digestato; no ingreso automático. Hipótesis de inversión sin planta local ni comprador verificados.</w:t>
      </w:r>
    </w:p>
    <w:p>
      <w:pPr>
        <w:pStyle w:val="SourceNote"/>
      </w:pPr>
      <w:r>
        <w:rPr>
          <w:b/>
        </w:rPr>
        <w:t xml:space="preserve">Fuentes  </w:t>
      </w:r>
      <w:hyperlink w:anchor="s_EN024">
        <w:r>
          <w:rPr>
            <w:color w:val="245C88"/>
            <w:u w:val="single"/>
          </w:rPr>
          <w:t>EN024</w:t>
        </w:r>
      </w:hyperlink>
      <w:r>
        <w:t xml:space="preserve">, </w:t>
      </w:r>
      <w:hyperlink w:anchor="s_EN022">
        <w:r>
          <w:rPr>
            <w:color w:val="245C88"/>
            <w:u w:val="single"/>
          </w:rPr>
          <w:t>EN022</w:t>
        </w:r>
      </w:hyperlink>
      <w:r>
        <w:t xml:space="preserve">  ·  Repositorio MIEM Documentos técnicos Biovalor, publicado 05/05/2025, estudios 2014–2020.</w:t>
      </w:r>
      <w:r>
        <w:t xml:space="preserve">  ·  Período: Situación documental consultada al 19/10/2026; revisar ante cada inversión.</w:t>
      </w:r>
    </w:p>
    <w:p>
      <w:bookmarkStart w:id="29" w:name="r_EN_026"/>
      <w:pPr>
        <w:pStyle w:val="Heading2"/>
      </w:pPr>
      <w:r>
        <w:t>Hidrógeno verde localización electricidad agua y destino comercial</w:t>
      </w:r>
      <w:bookmarkEnd w:id="29"/>
    </w:p>
    <w:p>
      <w:pPr>
        <w:pStyle w:val="RecordMeta"/>
      </w:pPr>
      <w:r>
        <w:t>EN-026  ·  Hipótesis de inversión  ·  Z1, Z2, Z3, Z4, Z5, Z6, Z7</w:t>
      </w:r>
    </w:p>
    <w:p>
      <w:r>
        <w:t>Al corte del 19/10/2026, la información del MIEM para desarrolladores de hidrógeno diferencia alternativas de suministro eléctrico y orienta sobre presentación de la localización industrial ante Ordenamiento Territorial e Intendencia, viabilidad ambiental y permisos. Para Lavalleja, la hoja de ruta nacional permite estudiar una cadena emergente, sin conferir un sitio autorizado. Como hipótesis de inversión, antes de definir un polo se deben demostrar electricidad y conexión o generación propia, agua legalmente disponible incluso en escenarios restrictivos, suelo compatible, destino comercial, seguridad y logística del producto. La condición renovable del proceso no elimina las restricciones paisajísticas, de áreas protegidas o de uso del suelo. No se verificaron terrenos, cupos de red, derechos de agua o contratos de compra adjudicados a un nuevo proyecto de hidrógeno en Lavalleja dentro de esta investigación.</w:t>
      </w:r>
    </w:p>
    <w:p>
      <w:pPr>
        <w:pStyle w:val="RecordConditions"/>
      </w:pPr>
      <w:r>
        <w:rPr>
          <w:b/>
        </w:rPr>
        <w:t xml:space="preserve">Condiciones  </w:t>
      </w:r>
      <w:r>
        <w:t>Hipótesis, no emplazamiento autorizado ni adjudicación local. Verificar electricidad, agua, uso del suelo, permisos y comprador. La hoja de ruta no concede recursos ni levanta prohibiciones territoriales.</w:t>
      </w:r>
    </w:p>
    <w:p>
      <w:pPr>
        <w:pStyle w:val="SourceNote"/>
      </w:pPr>
      <w:r>
        <w:rPr>
          <w:b/>
        </w:rPr>
        <w:t xml:space="preserve">Fuentes  </w:t>
      </w:r>
      <w:hyperlink w:anchor="s_EN025">
        <w:r>
          <w:rPr>
            <w:color w:val="245C88"/>
            <w:u w:val="single"/>
          </w:rPr>
          <w:t>EN025</w:t>
        </w:r>
      </w:hyperlink>
      <w:r>
        <w:t xml:space="preserve">, </w:t>
      </w:r>
      <w:hyperlink w:anchor="s_EN001">
        <w:r>
          <w:rPr>
            <w:color w:val="245C88"/>
            <w:u w:val="single"/>
          </w:rPr>
          <w:t>EN001</w:t>
        </w:r>
      </w:hyperlink>
      <w:r>
        <w:t xml:space="preserve">, </w:t>
      </w:r>
      <w:hyperlink w:anchor="s_EN003">
        <w:r>
          <w:rPr>
            <w:color w:val="245C88"/>
            <w:u w:val="single"/>
          </w:rPr>
          <w:t>EN003</w:t>
        </w:r>
      </w:hyperlink>
      <w:r>
        <w:t xml:space="preserve">  ·  MIEM Información para desarrolladores: localización, permisos, energía y agua.</w:t>
      </w:r>
      <w:r>
        <w:t xml:space="preserve">  ·  Período: Situación documental consultada al 19/10/2026; revisar ante cada inversión.</w:t>
      </w:r>
    </w:p>
    <w:p>
      <w:bookmarkStart w:id="30" w:name="r_EN_027"/>
      <w:pPr>
        <w:pStyle w:val="Heading2"/>
      </w:pPr>
      <w:r>
        <w:t>CO2 para derivados del hidrógeno interpretar correctamente el dato Lavalleja</w:t>
      </w:r>
      <w:bookmarkEnd w:id="30"/>
    </w:p>
    <w:p>
      <w:pPr>
        <w:pStyle w:val="RecordMeta"/>
      </w:pPr>
      <w:r>
        <w:t>EN-027  ·  Hecho con aplicación o inferencia  ·  Z1, Z2, Z3, Z4, Z5, Z6, Z7</w:t>
      </w:r>
    </w:p>
    <w:p>
      <w:r>
        <w:t>Al corte del 19/10/2026, la tabla de CO2 de la página del MIEM para desarrolladores se refiere a estimaciones 2021/2022 de generadores eléctricos que usan biomasa. El valor cero mostrado para Lavalleja corresponde a ese recorte sectorial y temporal; no prueba ausencia de todo CO2 industrial en el departamento. Tampoco permite clasificar cualquier emisión industrial como biogénica. Aplicación a proyectos de derivados del hidrógeno: identificar la fuente de carbono, origen, composición, cantidad capturable, continuidad y requisitos del mercado comprador antes de atribuir valor a una corriente. En particular, no presentar automáticamente el CO2 de calcinación de materiales minerales como carbono biogénico. Esta ficha es una regla de interpretación de la fuente y una orientación de prefactibilidad, sin afirmar que exista una oferta local de CO2 certificada, capturada o disponible para contratar.</w:t>
      </w:r>
    </w:p>
    <w:p>
      <w:pPr>
        <w:pStyle w:val="RecordConditions"/>
      </w:pPr>
      <w:r>
        <w:rPr>
          <w:b/>
        </w:rPr>
        <w:t xml:space="preserve">Condiciones  </w:t>
      </w:r>
      <w:r>
        <w:t>El cero departamental sólo describe generadores eléctricos de biomasa 2021/2022. No extrapolar a todas las industrias o emisiones de Lavalleja. Verificar origen y elegibilidad del carbono; no oferta certificada acreditada.</w:t>
      </w:r>
    </w:p>
    <w:p>
      <w:pPr>
        <w:pStyle w:val="SourceNote"/>
      </w:pPr>
      <w:r>
        <w:rPr>
          <w:b/>
        </w:rPr>
        <w:t xml:space="preserve">Fuentes  </w:t>
      </w:r>
      <w:hyperlink w:anchor="s_EN025">
        <w:r>
          <w:rPr>
            <w:color w:val="245C88"/>
            <w:u w:val="single"/>
          </w:rPr>
          <w:t>EN025</w:t>
        </w:r>
      </w:hyperlink>
      <w:r>
        <w:t xml:space="preserve">  ·  MIEM Información para desarrolladores, tabla de CO2 biogénico de generación eléctrica con biomasa.</w:t>
      </w:r>
      <w:r>
        <w:t xml:space="preserve">  ·  Período: Situación documental consultada al 19/10/2026; revisar ante cada inversión.</w:t>
      </w:r>
    </w:p>
    <w:p>
      <w:bookmarkStart w:id="31" w:name="r_EN_028"/>
      <w:pPr>
        <w:pStyle w:val="Heading2"/>
      </w:pPr>
      <w:r>
        <w:t>Proveedores de energía mantenimiento ingeniería y seguimiento</w:t>
      </w:r>
      <w:bookmarkEnd w:id="31"/>
    </w:p>
    <w:p>
      <w:pPr>
        <w:pStyle w:val="RecordMeta"/>
      </w:pPr>
      <w:r>
        <w:t>EN-028  ·  Hipótesis de inversión  ·  Z1, Z2, Z4, Z5, Z6</w:t>
      </w:r>
    </w:p>
    <w:p>
      <w:r>
        <w:t>Al corte del 19/10/2026, la existencia de Minas I en el registro de ADME y el estudio oficial de prospectiva de empleo en hidrógeno permiten identificar bases para explorar servicios energéticos en Lavalleja. Como hipótesis, analizar mantenimiento electromecánico, obra civil, montaje, repuestos, mediciones, ingeniería y seguimiento ambiental, con acceso desde Minas y otras localidades según el cliente efectivo. Los escenarios nacionales del estudio no cuantifican demanda contratada para empresas del departamento. Un proyecto de servicios debe validar parque de equipos atendible, requisitos de fabricantes, formación, seguridad, tiempos de respuesta y contratos potenciales. Las obligaciones operativas ambientales de parques eólicos también generan tareas técnicas, pero no garantizan adjudicación a proveedores locales. La oportunidad consiste en investigar necesidades comprobables de operadores y consumidores, sin convertir el potencial de una cadena nacional en ingresos o empleos asegurados.</w:t>
      </w:r>
    </w:p>
    <w:p>
      <w:pPr>
        <w:pStyle w:val="RecordConditions"/>
      </w:pPr>
      <w:r>
        <w:rPr>
          <w:b/>
        </w:rPr>
        <w:t xml:space="preserve">Condiciones  </w:t>
      </w:r>
      <w:r>
        <w:t>Hipótesis de servicios; demanda y contratos locales no verificados. Validar requisitos técnicos, formación y clientes concretos. Escenarios nacionales no son promesas de empleo departamental.</w:t>
      </w:r>
    </w:p>
    <w:p>
      <w:pPr>
        <w:pStyle w:val="SourceNote"/>
      </w:pPr>
      <w:r>
        <w:rPr>
          <w:b/>
        </w:rPr>
        <w:t xml:space="preserve">Fuentes  </w:t>
      </w:r>
      <w:hyperlink w:anchor="s_EN026">
        <w:r>
          <w:rPr>
            <w:color w:val="245C88"/>
            <w:u w:val="single"/>
          </w:rPr>
          <w:t>EN026</w:t>
        </w:r>
      </w:hyperlink>
      <w:r>
        <w:t xml:space="preserve">, </w:t>
      </w:r>
      <w:hyperlink w:anchor="s_EN032">
        <w:r>
          <w:rPr>
            <w:color w:val="245C88"/>
            <w:u w:val="single"/>
          </w:rPr>
          <w:t>EN032</w:t>
        </w:r>
      </w:hyperlink>
      <w:r>
        <w:t xml:space="preserve">, </w:t>
      </w:r>
      <w:hyperlink w:anchor="s_EN013">
        <w:r>
          <w:rPr>
            <w:color w:val="245C88"/>
            <w:u w:val="single"/>
          </w:rPr>
          <w:t>EN013</w:t>
        </w:r>
      </w:hyperlink>
      <w:r>
        <w:t xml:space="preserve">  ·  Informe prospectivo MTSS/MIEM; ADME Minas I; instructivo AAO eólica MA 561/018.</w:t>
      </w:r>
      <w:r>
        <w:t xml:space="preserve">  ·  Período: Situación documental consultada al 19/10/2026; revisar ante cada inversión.</w:t>
      </w:r>
    </w:p>
    <w:p>
      <w:bookmarkStart w:id="32" w:name="r_EN_029"/>
      <w:pPr>
        <w:pStyle w:val="Heading2"/>
      </w:pPr>
      <w:r>
        <w:t>Baterías respaldo y gestión de consumo con conexión condicionada</w:t>
      </w:r>
      <w:bookmarkEnd w:id="32"/>
    </w:p>
    <w:p>
      <w:pPr>
        <w:pStyle w:val="RecordMeta"/>
      </w:pPr>
      <w:r>
        <w:t>EN-029  ·  Hecho con aplicación o inferencia  ·  Z1, Z2, Z3, Z4, Z5, Z6, Z7</w:t>
      </w:r>
    </w:p>
    <w:p>
      <w:r>
        <w:t>Al corte del 19/10/2026, UTE identifica el almacenamiento como una herramienta para gestionar excedentes renovables y respaldo, y contempla acumulación dentro de instalaciones para autoconsumo conectadas en paralelo. Para industrias, alojamientos y servicios de Lavalleja, evaluar baterías es una hipótesis ligada al perfil de consumo y al valor de continuidad de servicio. Deben verificarse potencia y energía útil, degradación, operación, condiciones del local y diseño de respaldo; incorporar baterías no garantiza mantener suministro durante un corte con cualquier configuración. La conexión en paralelo requiere el procedimiento UTE y la documentación DNE aplicable. En el régimen de suscriptor, la inyección anual con baterías está limitada al 30% de la electricidad consumida desde la red. Una nota institucional sobre almacenamiento nacional no acredita un proyecto adjudicado ni una localización habilitada de gran escala en Lavalleja.</w:t>
      </w:r>
    </w:p>
    <w:p>
      <w:pPr>
        <w:pStyle w:val="RecordConditions"/>
      </w:pPr>
      <w:r>
        <w:rPr>
          <w:b/>
        </w:rPr>
        <w:t xml:space="preserve">Condiciones  </w:t>
      </w:r>
      <w:r>
        <w:t>Hipótesis que requiere dimensionamiento y evaluación económica propios. Conexión en paralelo sujeta a UTE y documentación DNE. Con baterías, inyección anual ≤30% del consumo anual desde red en el régimen indicado.</w:t>
      </w:r>
    </w:p>
    <w:p>
      <w:pPr>
        <w:pStyle w:val="SourceNote"/>
      </w:pPr>
      <w:r>
        <w:rPr>
          <w:b/>
        </w:rPr>
        <w:t xml:space="preserve">Fuentes  </w:t>
      </w:r>
      <w:hyperlink w:anchor="s_EN027">
        <w:r>
          <w:rPr>
            <w:color w:val="245C88"/>
            <w:u w:val="single"/>
          </w:rPr>
          <w:t>EN027</w:t>
        </w:r>
      </w:hyperlink>
      <w:r>
        <w:t xml:space="preserve">, </w:t>
      </w:r>
      <w:hyperlink w:anchor="s_EN016">
        <w:r>
          <w:rPr>
            <w:color w:val="245C88"/>
            <w:u w:val="single"/>
          </w:rPr>
          <w:t>EN016</w:t>
        </w:r>
      </w:hyperlink>
      <w:r>
        <w:t xml:space="preserve">, </w:t>
      </w:r>
      <w:hyperlink w:anchor="s_EN015">
        <w:r>
          <w:rPr>
            <w:color w:val="245C88"/>
            <w:u w:val="single"/>
          </w:rPr>
          <w:t>EN015</w:t>
        </w:r>
      </w:hyperlink>
      <w:r>
        <w:t xml:space="preserve">  ·  UTE Almacenar; UTE Suscriptores; Decreto 147/023 art. 4.</w:t>
      </w:r>
      <w:r>
        <w:t xml:space="preserve">  ·  Período: Situación documental consultada al 19/10/2026; revisar ante cada inversión.</w:t>
      </w:r>
    </w:p>
    <w:p>
      <w:bookmarkStart w:id="33" w:name="r_EN_030"/>
      <w:pPr>
        <w:pStyle w:val="Heading2"/>
      </w:pPr>
      <w:r>
        <w:t>Carga de vehículos y flotas eléctricas prospectar con cobertura actual</w:t>
      </w:r>
      <w:bookmarkEnd w:id="33"/>
    </w:p>
    <w:p>
      <w:pPr>
        <w:pStyle w:val="RecordMeta"/>
      </w:pPr>
      <w:r>
        <w:t>EN-030  ·  Hipótesis de inversión  ·  Z1, Z2, Z3, Z4, Z5</w:t>
      </w:r>
    </w:p>
    <w:p>
      <w:r>
        <w:t>Al corte del 19/10/2026, UTE ofrece canales oficiales sobre red de carga, operadores, flotas y la aplicación UTE Mueve. Una noticia institucional de 2023 documenta dos puntos inaugurados entonces en Parque de Minas, que deben tratarse como antecedente histórico y no como inventario operativo actual. Como hipótesis para Lavalleja, estudiar carga vinculada con gastronomía, alojamiento y paradas de ruta, además de electrificación de flotas de servicios. Seleccionar sitios exige comprobar la cobertura actual, demanda, permanencia de usuarios, potencia requerida, conexión y condiciones del inmueble. Las rutas 8 y 12 y los accesos a destinos turísticos son referencias para investigar, sin asignarles demanda garantizada ni declarar vacíos de cobertura. Una estación en un predio privado o en un corredor sujeto a protección requiere sus autorizaciones concretas y un modelo de operación verificable.</w:t>
      </w:r>
    </w:p>
    <w:p>
      <w:pPr>
        <w:pStyle w:val="RecordConditions"/>
      </w:pPr>
      <w:r>
        <w:rPr>
          <w:b/>
        </w:rPr>
        <w:t xml:space="preserve">Condiciones  </w:t>
      </w:r>
      <w:r>
        <w:t>Comprobar mapa y estado actual de cargadores; noticia 2023 no es inventario 2026. Hipótesis sin demanda o rentabilidad garantizada. Confirmar potencia, conexión, inmueble y permisos antes de seleccionar sitio.</w:t>
      </w:r>
    </w:p>
    <w:p>
      <w:pPr>
        <w:pStyle w:val="SourceNote"/>
      </w:pPr>
      <w:r>
        <w:rPr>
          <w:b/>
        </w:rPr>
        <w:t xml:space="preserve">Fuentes  </w:t>
      </w:r>
      <w:hyperlink w:anchor="s_EN028">
        <w:r>
          <w:rPr>
            <w:color w:val="245C88"/>
            <w:u w:val="single"/>
          </w:rPr>
          <w:t>EN028</w:t>
        </w:r>
      </w:hyperlink>
      <w:r>
        <w:t xml:space="preserve">, </w:t>
      </w:r>
      <w:hyperlink w:anchor="s_EN029">
        <w:r>
          <w:rPr>
            <w:color w:val="245C88"/>
            <w:u w:val="single"/>
          </w:rPr>
          <w:t>EN029</w:t>
        </w:r>
      </w:hyperlink>
      <w:r>
        <w:t xml:space="preserve">, </w:t>
      </w:r>
      <w:hyperlink w:anchor="s_EN001">
        <w:r>
          <w:rPr>
            <w:color w:val="245C88"/>
            <w:u w:val="single"/>
          </w:rPr>
          <w:t>EN001</w:t>
        </w:r>
      </w:hyperlink>
      <w:r>
        <w:t xml:space="preserve">  ·  UTE Movilidad sostenible; noticia Parque de Minas 2023; DDOTDS para corredores y usos.</w:t>
      </w:r>
      <w:r>
        <w:t xml:space="preserve">  ·  Período: Situación documental consultada al 19/10/2026; revisar ante cada inversión.</w:t>
      </w:r>
    </w:p>
    <w:p>
      <w:bookmarkStart w:id="34" w:name="r_EN_031"/>
      <w:pPr>
        <w:pStyle w:val="Heading2"/>
      </w:pPr>
      <w:r>
        <w:t>CEE 2026 estandarizados apoyo con plazo y condiciones</w:t>
      </w:r>
      <w:bookmarkEnd w:id="34"/>
    </w:p>
    <w:p>
      <w:pPr>
        <w:pStyle w:val="RecordMeta"/>
      </w:pPr>
      <w:r>
        <w:t>EN-031  ·  Hecho o requisito documentado  ·  Z1, Z2, Z3, Z4, Z5, Z6, Z7</w:t>
      </w:r>
    </w:p>
    <w:p>
      <w:r>
        <w:t>Al corte del 19/10/2026, la convocatoria MIEM de Certificados de Eficiencia Energética 2026 para medidas estandarizadas tiene cierre publicado el 15/12/2026. Incluye, bajo sus bases, vehículos eléctricos livianos, determinadas bombas de calor, microgeneración fotovoltaica para autoconsumo, solar térmica, equipos eficientes e iluminación LED. La página exige al menos un año de operación al postular y establece límites, equipos nuevos y otras condiciones. El reconocimiento se calcula por ahorro energético y se otorga por única vez a medidas exitosamente implementadas; no es un subsidio automático por comprar un equipo. Para empresas y establecimientos de Lavalleja se debe comprobar elegibilidad, fecha de inicio y documentación antes de incorporarlo al flujo financiero. La existencia del llamado 2026 no garantiza que una compra iniciada hoy sea elegible ni que el mismo instrumento mantenga sus condiciones después del cierre.</w:t>
      </w:r>
    </w:p>
    <w:p>
      <w:pPr>
        <w:pStyle w:val="RecordConditions"/>
      </w:pPr>
      <w:r>
        <w:rPr>
          <w:b/>
        </w:rPr>
        <w:t xml:space="preserve">Condiciones  </w:t>
      </w:r>
      <w:r>
        <w:t>Cierre publicado 15/12/2026; revisar cambios y bases antes de responder. Beneficio sujeto a elegibilidad, antigüedad, postulación y aprobación. No prometer apoyo automático ni aplicar condiciones 2026 a inversiones futuras.</w:t>
      </w:r>
    </w:p>
    <w:p>
      <w:pPr>
        <w:pStyle w:val="SourceNote"/>
      </w:pPr>
      <w:r>
        <w:rPr>
          <w:b/>
        </w:rPr>
        <w:t xml:space="preserve">Fuentes  </w:t>
      </w:r>
      <w:hyperlink w:anchor="s_EN030">
        <w:r>
          <w:rPr>
            <w:color w:val="245C88"/>
            <w:u w:val="single"/>
          </w:rPr>
          <w:t>EN030</w:t>
        </w:r>
      </w:hyperlink>
      <w:r>
        <w:t xml:space="preserve">  ·  MIEM CEE 2026 MMEE estandarizadas, principales actualizaciones, plazos y bases.</w:t>
      </w:r>
      <w:r>
        <w:t xml:space="preserve">  ·  Período: Convocatoria 24/06/2026–15/12/2026; estado consultado 19/10/2026.</w:t>
      </w:r>
    </w:p>
    <w:p>
      <w:bookmarkStart w:id="35" w:name="r_EN_032"/>
      <w:pPr>
        <w:pStyle w:val="Heading2"/>
      </w:pPr>
      <w:r>
        <w:t>CEE 2026 no estandarizados ahorros certificados y plazos previos</w:t>
      </w:r>
      <w:bookmarkEnd w:id="35"/>
    </w:p>
    <w:p>
      <w:pPr>
        <w:pStyle w:val="RecordMeta"/>
      </w:pPr>
      <w:r>
        <w:t>EN-032  ·  Hecho con aplicación o inferencia  ·  Z1, Z2, Z3, Z4, Z5, Z6, Z7</w:t>
      </w:r>
    </w:p>
    <w:p>
      <w:r>
        <w:t>Al corte del 19/10/2026, los CEE 2026 para medidas no estandarizadas admiten medidas cuyo inicio de operación fue entre 01/07/2024 y 30/06/2025. La ficha vigente fija finalización de la postulación electrónica el 27/10/2026 a las 11:00 y un plazo previo para presentar planes de medición y verificación que terminó el 24/07/2026. Los ahorros requieren certificación por agentes habilitados y cumplimiento de las bases modificadas. Por tanto, estar antes del cierre final no significa poder subsanar cualquier requisito previo vencido. Para Lavalleja, el instrumento puede interesar a proyectos de eficiencia industrial, bombeo, frío o calor que efectivamente encuadren, sin afirmar que toda inversión sea beneficiaria. En nuevas propuestas deben planificarse medición y verificación desde el inicio y comprobar futuros llamados, sin contabilizar los CEE como ingreso confirmado antes de su aprobación.</w:t>
      </w:r>
    </w:p>
    <w:p>
      <w:pPr>
        <w:pStyle w:val="RecordConditions"/>
      </w:pPr>
      <w:r>
        <w:rPr>
          <w:b/>
        </w:rPr>
        <w:t xml:space="preserve">Condiciones  </w:t>
      </w:r>
      <w:r>
        <w:t>Inicio elegible 01/07/2024–30/06/2025 según convocatoria consultada. Planes: plazo 24/07/2026; postulación electrónica: 27/10/2026 11:00. Comprobar bases y certificación; cierre final abierto no elimina requisitos previos.</w:t>
      </w:r>
    </w:p>
    <w:p>
      <w:pPr>
        <w:pStyle w:val="SourceNote"/>
      </w:pPr>
      <w:r>
        <w:rPr>
          <w:b/>
        </w:rPr>
        <w:t xml:space="preserve">Fuentes  </w:t>
      </w:r>
      <w:hyperlink w:anchor="s_EN031">
        <w:r>
          <w:rPr>
            <w:color w:val="245C88"/>
            <w:u w:val="single"/>
          </w:rPr>
          <w:t>EN031</w:t>
        </w:r>
      </w:hyperlink>
      <w:r>
        <w:t xml:space="preserve">  ·  MIEM CEE 2026 MMEE no estandarizadas, tabla de plazos y actualizaciones.</w:t>
      </w:r>
      <w:r>
        <w:t xml:space="preserve">  ·  Período: Convocatoria 24/06/2026–27/10/2026; plazos previos indicados; consulta 19/10/2026.</w:t>
      </w:r>
    </w:p>
    <w:p>
      <w:bookmarkStart w:id="36" w:name="r_EN_033"/>
      <w:pPr>
        <w:pStyle w:val="Heading2"/>
      </w:pPr>
      <w:r>
        <w:t>Eficiencia en Lavalleja calor frío bombeo y gestión de energía</w:t>
      </w:r>
      <w:bookmarkEnd w:id="36"/>
    </w:p>
    <w:p>
      <w:pPr>
        <w:pStyle w:val="RecordMeta"/>
      </w:pPr>
      <w:r>
        <w:t>EN-033  ·  Hipótesis de inversión  ·  Z1, Z2, Z3, Z4, Z5, Z6, Z7</w:t>
      </w:r>
    </w:p>
    <w:p>
      <w:r>
        <w:t>Al corte del 19/10/2026, los instrumentos de eficiencia del MIEM permiten fundamentar una línea de inversión transversal basada en ahorros comprobados. Como hipótesis en Lavalleja, estudiar motores y bombeo en establecimientos rurales, secado y manejo de granos donde exista demanda, frío alimentario, calderas y recuperación térmica industrial, aislamiento y agua caliente en alojamientos. Minas y Solís de Mataojo, el entorno de José Pedro Varela y los destinos turísticos son referencias comerciales para identificar usuarios reales, sin atribuir consumos medidos a toda una zona. El orden de inversión debe surgir de diagnóstico, costo total, operación y medición del ahorro. No se dispone aquí de auditorías energéticas prediales ni retornos comprobados para esos casos. Los incentivos CEE tienen requisitos y ventanas temporales propios; su eventual obtención debe distinguirse del ahorro técnico y económico del proyecto.</w:t>
      </w:r>
    </w:p>
    <w:p>
      <w:pPr>
        <w:pStyle w:val="RecordConditions"/>
      </w:pPr>
      <w:r>
        <w:rPr>
          <w:b/>
        </w:rPr>
        <w:t xml:space="preserve">Condiciones  </w:t>
      </w:r>
      <w:r>
        <w:t>Hipótesis: realizar diagnóstico y medir consumos antes de proyectar ahorro. No ofrecer retornos, consumos locales ni clientes sin evidencia predial. Separar ahorro del proyecto de incentivos sujetos a aprobación.</w:t>
      </w:r>
    </w:p>
    <w:p>
      <w:pPr>
        <w:pStyle w:val="SourceNote"/>
      </w:pPr>
      <w:r>
        <w:rPr>
          <w:b/>
        </w:rPr>
        <w:t xml:space="preserve">Fuentes  </w:t>
      </w:r>
      <w:hyperlink w:anchor="s_EN030">
        <w:r>
          <w:rPr>
            <w:color w:val="245C88"/>
            <w:u w:val="single"/>
          </w:rPr>
          <w:t>EN030</w:t>
        </w:r>
      </w:hyperlink>
      <w:r>
        <w:t xml:space="preserve">, </w:t>
      </w:r>
      <w:hyperlink w:anchor="s_EN031">
        <w:r>
          <w:rPr>
            <w:color w:val="245C88"/>
            <w:u w:val="single"/>
          </w:rPr>
          <w:t>EN031</w:t>
        </w:r>
      </w:hyperlink>
      <w:r>
        <w:t xml:space="preserve">, </w:t>
      </w:r>
      <w:hyperlink w:anchor="s_EN022">
        <w:r>
          <w:rPr>
            <w:color w:val="245C88"/>
            <w:u w:val="single"/>
          </w:rPr>
          <w:t>EN022</w:t>
        </w:r>
      </w:hyperlink>
      <w:r>
        <w:t xml:space="preserve">, </w:t>
      </w:r>
      <w:hyperlink w:anchor="s_EN020">
        <w:r>
          <w:rPr>
            <w:color w:val="245C88"/>
            <w:u w:val="single"/>
          </w:rPr>
          <w:t>EN020</w:t>
        </w:r>
      </w:hyperlink>
      <w:r>
        <w:t xml:space="preserve">  ·  MIEM CEE 2026 y tecnologías de biomasa; Ley 18.585 para usos de agua caliente alcanzados.</w:t>
      </w:r>
      <w:r>
        <w:t xml:space="preserve">  ·  Período: Situación documental consultada al 19/10/2026; revisar ante cada inversión.</w:t>
      </w:r>
    </w:p>
    <w:p>
      <w:bookmarkStart w:id="37" w:name="r_EN_034"/>
      <w:pPr>
        <w:pStyle w:val="Heading2"/>
      </w:pPr>
      <w:r>
        <w:t>Respuesta por padrón seis comprobaciones para inversiones energéticas</w:t>
      </w:r>
      <w:bookmarkEnd w:id="37"/>
    </w:p>
    <w:p>
      <w:pPr>
        <w:pStyle w:val="RecordMeta"/>
      </w:pPr>
      <w:r>
        <w:t>EN-034  ·  Hecho con aplicación o inferencia  ·  Z1, Z2, Z3, Z4, Z5, Z6, Z7</w:t>
      </w:r>
    </w:p>
    <w:p>
      <w:r>
        <w:t>Al corte del 19/10/2026, una respuesta sobre dónde invertir en energía en Lavalleja debe distinguir seis cuestiones: recurso físico, compatibilidad territorial, procedimiento ambiental, autorización eléctrica, conexión efectiva y viabilidad comercial. Es una síntesis de aplicación de las fuentes oficiales citadas. Para responder sobre un sitio, identificar padrón y sección catastral, coordenadas, tecnología, potencia, uso de agua y conexión prevista. Luego verificar los instrumentos departamentales y especiales, incluyendo las subzonas de Villa Serrana y el polígono SNAP Arequita cuando correspondan. Las zonas Z1–Z7 son referencias comerciales del documento, sin valor como polígonos legales. Un mapa de viento, una usina existente o una línea cercana no satisface las demás comprobaciones. Si falta un pronunciamiento necesario, la respuesta debe expresar esa incertidumbre y la consulta concreta pendiente, en lugar de declarar un predio habilitado, disponible o prohibido por una frontera no verificada.</w:t>
      </w:r>
    </w:p>
    <w:p>
      <w:pPr>
        <w:pStyle w:val="RecordConditions"/>
      </w:pPr>
      <w:r>
        <w:rPr>
          <w:b/>
        </w:rPr>
        <w:t xml:space="preserve">Condiciones  </w:t>
      </w:r>
      <w:r>
        <w:t>Z1–Z7 son referencias comerciales, no zonificación normativa. No afirmar aptitud predial sin padrón, tecnología y comprobaciones correspondientes. Recurso, permisos, conexión y viabilidad comercial son comprobaciones distintas.</w:t>
      </w:r>
    </w:p>
    <w:p>
      <w:pPr>
        <w:pStyle w:val="SourceNote"/>
      </w:pPr>
      <w:r>
        <w:rPr>
          <w:b/>
        </w:rPr>
        <w:t xml:space="preserve">Fuentes  </w:t>
      </w:r>
      <w:hyperlink w:anchor="s_EN001">
        <w:r>
          <w:rPr>
            <w:color w:val="245C88"/>
            <w:u w:val="single"/>
          </w:rPr>
          <w:t>EN001</w:t>
        </w:r>
      </w:hyperlink>
      <w:r>
        <w:t xml:space="preserve">, </w:t>
      </w:r>
      <w:hyperlink w:anchor="s_EN002">
        <w:r>
          <w:rPr>
            <w:color w:val="245C88"/>
            <w:u w:val="single"/>
          </w:rPr>
          <w:t>EN002</w:t>
        </w:r>
      </w:hyperlink>
      <w:r>
        <w:t xml:space="preserve">, </w:t>
      </w:r>
      <w:hyperlink w:anchor="s_EN003">
        <w:r>
          <w:rPr>
            <w:color w:val="245C88"/>
            <w:u w:val="single"/>
          </w:rPr>
          <w:t>EN003</w:t>
        </w:r>
      </w:hyperlink>
      <w:r>
        <w:t xml:space="preserve">, </w:t>
      </w:r>
      <w:hyperlink w:anchor="s_EN006">
        <w:r>
          <w:rPr>
            <w:color w:val="245C88"/>
            <w:u w:val="single"/>
          </w:rPr>
          <w:t>EN006</w:t>
        </w:r>
      </w:hyperlink>
      <w:r>
        <w:t xml:space="preserve">, </w:t>
      </w:r>
      <w:hyperlink w:anchor="s_EN008">
        <w:r>
          <w:rPr>
            <w:color w:val="245C88"/>
            <w:u w:val="single"/>
          </w:rPr>
          <w:t>EN008</w:t>
        </w:r>
      </w:hyperlink>
      <w:r>
        <w:t xml:space="preserve">, </w:t>
      </w:r>
      <w:hyperlink w:anchor="s_EN009">
        <w:r>
          <w:rPr>
            <w:color w:val="245C88"/>
            <w:u w:val="single"/>
          </w:rPr>
          <w:t>EN009</w:t>
        </w:r>
      </w:hyperlink>
      <w:r>
        <w:t xml:space="preserve">  ·  Síntesis aplicada de DDOTDS, Plan Villa Serrana, Decreto 306/024, régimen ambiental, MIEM y UTE.</w:t>
      </w:r>
      <w:r>
        <w:t xml:space="preserve">  ·  Período: Situación documental consultada al 19/10/2026; revisar ante cada inversión.</w:t>
      </w:r>
    </w:p>
    <w:p>
      <w:bookmarkStart w:id="38" w:name="agro"/>
      <w:pPr>
        <w:pStyle w:val="Heading1"/>
      </w:pPr>
      <w:r>
        <w:t>4 Agroindustria forestación y minerales</w:t>
      </w:r>
      <w:bookmarkEnd w:id="38"/>
    </w:p>
    <w:p>
      <w:pPr>
        <w:pStyle w:val="RecordMeta"/>
      </w:pPr>
      <w:r>
        <w:t>35 fichas autónomas con condiciones y fuentes. La fecha de corte del complemento es el 19 de octubre de 2026; cada antecedente conserva su período propio.</w:t>
      </w:r>
    </w:p>
    <w:p>
      <w:bookmarkStart w:id="39" w:name="r_AG_001"/>
      <w:pPr>
        <w:pStyle w:val="Heading2"/>
      </w:pPr>
      <w:r>
        <w:t>Base agropecuaria de Lavalleja cómo leer el Censo 2024</w:t>
      </w:r>
      <w:bookmarkEnd w:id="39"/>
    </w:p>
    <w:p>
      <w:pPr>
        <w:pStyle w:val="RecordMeta"/>
      </w:pPr>
      <w:r>
        <w:t>AG-001  ·  Hecho o requisito documentado  ·  Ámbito específico descrito en la ficha</w:t>
      </w:r>
    </w:p>
    <w:p>
      <w:r>
        <w:t>El Cuadro 88 del Censo General Agropecuario 2024, publicado en marzo de 2026, registra 2.899 explotaciones y 903.178 hectáreas en Lavalleja. Según la principal fuente de ingreso, identifica 2.288 explotaciones de vacunos de carne, 149 de ovinos, 114 forestales, 43 de vacunos de leche, 25 de cultivos cerealeros e industriales, 19 de horticultura y plantines, 11 frutícolas, cuatro de arroz y tres vitícolas. La clasificación permite detectar diversidad sectorial más allá de los grandes complejos exportadores. No corresponde interpretar las hectáreas de cada fila como superficie sembrada o forestada: son la superficie total de explotaciones clasificadas por ingreso principal. Tampoco los conteos incluyen necesariamente a quienes tienen ese rubro como actividad secundaria. Es una base censal de 2024; no es un inventario de capacidad disponible en 2026 ni prueba de rentabilidad o demanda para una inversión concreta.</w:t>
      </w:r>
    </w:p>
    <w:p>
      <w:pPr>
        <w:pStyle w:val="RecordConditions"/>
      </w:pPr>
      <w:r>
        <w:rPr>
          <w:b/>
        </w:rPr>
        <w:t xml:space="preserve">Condiciones  </w:t>
      </w:r>
      <w:r>
        <w:t>Datos de 2024, publicados en 2026. Explotaciones clasificadas por ingreso principal; no censo exhaustivo por rubro secundario ni hectáreas efectivamente cultivadas.</w:t>
      </w:r>
    </w:p>
    <w:p>
      <w:pPr>
        <w:pStyle w:val="SourceNote"/>
      </w:pPr>
      <w:r>
        <w:rPr>
          <w:b/>
        </w:rPr>
        <w:t xml:space="preserve">Fuentes  </w:t>
      </w:r>
      <w:hyperlink w:anchor="s_AG001">
        <w:r>
          <w:rPr>
            <w:color w:val="245C88"/>
            <w:u w:val="single"/>
          </w:rPr>
          <w:t>AG001</w:t>
        </w:r>
      </w:hyperlink>
      <w:r>
        <w:t xml:space="preserve">  ·  AG001: Cuadro 88, Lavalleja.</w:t>
      </w:r>
      <w:r>
        <w:t xml:space="preserve">  ·  Período: CGA 2024; publicación 24/03/2026</w:t>
      </w:r>
    </w:p>
    <w:p>
      <w:bookmarkStart w:id="40" w:name="r_AG_002"/>
      <w:pPr>
        <w:pStyle w:val="Heading2"/>
      </w:pPr>
      <w:r>
        <w:t>Evaluación del padrón rural CONEAT y suelos de prioridad forestal</w:t>
      </w:r>
      <w:bookmarkEnd w:id="40"/>
    </w:p>
    <w:p>
      <w:pPr>
        <w:pStyle w:val="RecordMeta"/>
      </w:pPr>
      <w:r>
        <w:t>AG-002  ·  Hecho con aplicación o inferencia  ·  Ámbito específico descrito en la ficha</w:t>
      </w:r>
    </w:p>
    <w:p>
      <w:r>
        <w:t>Para estudiar una inversión rural en Lavalleja, MGAP permite consultar cada padrón por departamento y número, descargar su croquis CONEAT y revisar los grupos de suelos que contiene. El índice CONEAT compara capacidad productiva en carne bovina, ovina y lana en pie; la media nacional corresponde a 100. El visor también permite activar la capa de grupos de prioridad forestal. Por su definición, un índice elevado no demuestra aptitud específica para olivos, vid, arroz, horticultura o una planta industrial. La aplicación al proyecto requiere un diagnóstico de campo con profundidad, drenaje, pendiente y riesgo de erosión, además de agua y acceso. La prioridad forestal tampoco equivale a permiso para plantar: el padrón debe cumplir el régimen ambiental y el ordenamiento territorial departamental aplicables. Las zonas comerciales Z1–Z7 no reemplazan esta verificación predial.</w:t>
      </w:r>
    </w:p>
    <w:p>
      <w:pPr>
        <w:pStyle w:val="RecordConditions"/>
      </w:pPr>
      <w:r>
        <w:rPr>
          <w:b/>
        </w:rPr>
        <w:t xml:space="preserve">Condiciones  </w:t>
      </w:r>
      <w:r>
        <w:t>CONEAT mide productividad relativa de carne y lana; no certifica aptitud de todo cultivo. La capa de prioridad forestal no concede autorización ambiental o territorial.</w:t>
      </w:r>
    </w:p>
    <w:p>
      <w:pPr>
        <w:pStyle w:val="SourceNote"/>
      </w:pPr>
      <w:r>
        <w:rPr>
          <w:b/>
        </w:rPr>
        <w:t xml:space="preserve">Fuentes  </w:t>
      </w:r>
      <w:hyperlink w:anchor="s_AG002">
        <w:r>
          <w:rPr>
            <w:color w:val="245C88"/>
            <w:u w:val="single"/>
          </w:rPr>
          <w:t>AG002</w:t>
        </w:r>
      </w:hyperlink>
      <w:r>
        <w:t xml:space="preserve">  ·  AG002: definición de índice; consulta por padrón; capa de prioridad forestal.</w:t>
      </w:r>
      <w:r>
        <w:t xml:space="preserve">  ·  Período: Situación documental al 19/10/2026</w:t>
      </w:r>
    </w:p>
    <w:p>
      <w:bookmarkStart w:id="41" w:name="r_AG_003"/>
      <w:pPr>
        <w:pStyle w:val="Heading2"/>
      </w:pPr>
      <w:r>
        <w:t>Agricultura de secano y conservación de suelos sistema SGPU actualizado</w:t>
      </w:r>
      <w:bookmarkEnd w:id="41"/>
    </w:p>
    <w:p>
      <w:pPr>
        <w:pStyle w:val="RecordMeta"/>
      </w:pPr>
      <w:r>
        <w:t>AG-003  ·  Hecho con aplicación o inferencia  ·  Z5</w:t>
      </w:r>
    </w:p>
    <w:p>
      <w:r>
        <w:t>MGAP informó el 2 de septiembre de 2026 la actualización del Sistema de Gestión de Planes de Uso 2.0, que integra planes de secano, riego y lechería. La obligación de Planes de Uso y Manejo Responsable de Suelos para agricultura de secano alcanza superficies de 50 hectáreas o más en todo el país. Para una inversión en granos o servicios agrícolas en Lavalleja, la carpeta técnica debe verificar qué superficie y secuencia de cultivos integran el plan, su responsable técnico y el estado de presentación ante MGAP. Como hipótesis comercial, esto permite estudiar servicios de agronomía, seguimiento de erosión y gestión de información para productores del eje José Pedro Varela y otros predios aptos. La existencia de una obligación no acredita clientes contratados ni que un predio específico pueda destinarse a agricultura; deben comprobarse además sus restricciones territoriales y ambientales.</w:t>
      </w:r>
    </w:p>
    <w:p>
      <w:pPr>
        <w:pStyle w:val="RecordConditions"/>
      </w:pPr>
      <w:r>
        <w:rPr>
          <w:b/>
        </w:rPr>
        <w:t xml:space="preserve">Condiciones  </w:t>
      </w:r>
      <w:r>
        <w:t>El umbral de 50 ha corresponde a planes de secano según la comunicación MGAP. No trasladarlo a riego, que tiene alcance distinto. La localización Z5 es referencial para una hipótesis de servicios; no delimitación legal de suelos agrícolas.</w:t>
      </w:r>
    </w:p>
    <w:p>
      <w:pPr>
        <w:pStyle w:val="SourceNote"/>
      </w:pPr>
      <w:r>
        <w:rPr>
          <w:b/>
        </w:rPr>
        <w:t xml:space="preserve">Fuentes  </w:t>
      </w:r>
      <w:hyperlink w:anchor="s_AG003">
        <w:r>
          <w:rPr>
            <w:color w:val="245C88"/>
            <w:u w:val="single"/>
          </w:rPr>
          <w:t>AG003</w:t>
        </w:r>
      </w:hyperlink>
      <w:r>
        <w:t xml:space="preserve">  ·  AG003: SGPU 2.0 y Planes de Uso y Manejo Responsable de Suelos.</w:t>
      </w:r>
      <w:r>
        <w:t xml:space="preserve">  ·  Período: Situación documental al 19/10/2026</w:t>
      </w:r>
    </w:p>
    <w:p>
      <w:bookmarkStart w:id="42" w:name="r_AG_004"/>
      <w:pPr>
        <w:pStyle w:val="Heading2"/>
      </w:pPr>
      <w:r>
        <w:t>Arroz y otros cultivos irrigados el plan de suelos es independiente del agua</w:t>
      </w:r>
      <w:bookmarkEnd w:id="42"/>
    </w:p>
    <w:p>
      <w:pPr>
        <w:pStyle w:val="RecordMeta"/>
      </w:pPr>
      <w:r>
        <w:t>AG-004  ·  Hecho con aplicación o inferencia  ·  Z5</w:t>
      </w:r>
    </w:p>
    <w:p>
      <w:r>
        <w:t>MGAP indica que los Planes de Uso de Suelos y Aguas (PUSA) abarcan la producción agraria bajo riego cualquiera sea la superficie o la fuente de agua. Por ello, en proyectos arroceros o de diversificación irrigada de Lavalleja no debe aplicarse el umbral de 50 hectáreas previsto para secano. Antes de invertir se necesita identificar el padrón, área irrigada, cultivo, fuente de abastecimiento y esquema de manejo de suelos. La presentación del PUSA no prueba por sí sola que exista un derecho de captación, disponibilidad en estiaje o autorización para construir una represa. Esas verificaciones deben documentarse por separado ante los organismos competentes. Como hipótesis, los servicios de diseño, medición y eficiencia del riego pueden estudiarse para clientes del entorno de José Pedro Varela y otros productores concretos, sujetos a demanda, permisos y balance hídrico predial.</w:t>
      </w:r>
    </w:p>
    <w:p>
      <w:pPr>
        <w:pStyle w:val="RecordConditions"/>
      </w:pPr>
      <w:r>
        <w:rPr>
          <w:b/>
        </w:rPr>
        <w:t xml:space="preserve">Condiciones  </w:t>
      </w:r>
      <w:r>
        <w:t>PUSA: producción agraria bajo riego con independencia de área y fuente. La aprobación de manejo de suelos no sustituye derechos de agua, autorizaciones de obras o compatibilidad territorial.</w:t>
      </w:r>
    </w:p>
    <w:p>
      <w:pPr>
        <w:pStyle w:val="SourceNote"/>
      </w:pPr>
      <w:r>
        <w:rPr>
          <w:b/>
        </w:rPr>
        <w:t xml:space="preserve">Fuentes  </w:t>
      </w:r>
      <w:hyperlink w:anchor="s_AG003">
        <w:r>
          <w:rPr>
            <w:color w:val="245C88"/>
            <w:u w:val="single"/>
          </w:rPr>
          <w:t>AG003</w:t>
        </w:r>
      </w:hyperlink>
      <w:r>
        <w:t xml:space="preserve">  ·  AG003: Planes de Uso de Suelos y Aguas.</w:t>
      </w:r>
      <w:r>
        <w:t xml:space="preserve">  ·  Período: Situación documental al 19/10/2026</w:t>
      </w:r>
    </w:p>
    <w:p>
      <w:bookmarkStart w:id="43" w:name="r_AG_005"/>
      <w:pPr>
        <w:pStyle w:val="Heading2"/>
      </w:pPr>
      <w:r>
        <w:t>Microregión arrocera del norte José Pedro Varela María Albina y Paso Averías</w:t>
      </w:r>
      <w:bookmarkEnd w:id="43"/>
    </w:p>
    <w:p>
      <w:pPr>
        <w:pStyle w:val="RecordMeta"/>
      </w:pPr>
      <w:r>
        <w:t>AG-005  ·  Hecho con aplicación o inferencia  ·  Z5</w:t>
      </w:r>
    </w:p>
    <w:p>
      <w:r>
        <w:t>La Memoria Informativa departamental publicada en 2019 describe una microregión arrocera vinculada a José Pedro Varela, María Albina y Paso Averías, en las tierras bajas de la cuenca del Cebollatí; su conexión con Lascano involucra al departamento de Rocha. Es un antecedente territorial, no una medición de capacidad en 2026. Para inversiones, permite formular hipótesis de secado, almacenamiento, trazabilidad de lotes, análisis de calidad, mantenimiento de equipos y eficiencia energética en poscosecha. Cada hipótesis requiere comprobar molinos y depósitos efectivamente operativos, sus contratos, estacionalidad, energía y recepción de camiones. No se deben ofrecer nombres históricos de plantas como capacidad ociosa disponible, ni asumir servicios ferroviarios activos. La ampliación del cultivo exige además resolver agua, PUSA y compatibilidad de cada padrón; la identificación de una cuenca productiva no convierte todas sus tierras en cultivables.</w:t>
      </w:r>
    </w:p>
    <w:p>
      <w:pPr>
        <w:pStyle w:val="RecordConditions"/>
      </w:pPr>
      <w:r>
        <w:rPr>
          <w:b/>
        </w:rPr>
        <w:t xml:space="preserve">Condiciones  </w:t>
      </w:r>
      <w:r>
        <w:t>Antecedente territorial histórico de la Memoria Informativa; no inventario operativo de 2026. Lascano pertenece a Rocha. Z5 es referencia comercial, no perímetro normativo.</w:t>
      </w:r>
    </w:p>
    <w:p>
      <w:pPr>
        <w:pStyle w:val="SourceNote"/>
      </w:pPr>
      <w:r>
        <w:rPr>
          <w:b/>
        </w:rPr>
        <w:t xml:space="preserve">Fuentes  </w:t>
      </w:r>
      <w:hyperlink w:anchor="s_AG004">
        <w:r>
          <w:rPr>
            <w:color w:val="245C88"/>
            <w:u w:val="single"/>
          </w:rPr>
          <w:t>AG004</w:t>
        </w:r>
      </w:hyperlink>
      <w:r>
        <w:t xml:space="preserve">  ·  AG004: sección Cultivo de arroz, microregión José Pedro Varela–María Albina–Paso Averías.</w:t>
      </w:r>
      <w:r>
        <w:t xml:space="preserve">  ·  Período: Diagnóstico histórico publicado en 2019; hipótesis a evaluar al corte 2026</w:t>
      </w:r>
    </w:p>
    <w:p>
      <w:bookmarkStart w:id="44" w:name="r_AG_006"/>
      <w:pPr>
        <w:pStyle w:val="Heading2"/>
      </w:pPr>
      <w:r>
        <w:t>Semillas acondicionamiento y ensayos oportunidad a validar en José Pedro Varela</w:t>
      </w:r>
      <w:bookmarkEnd w:id="44"/>
    </w:p>
    <w:p>
      <w:pPr>
        <w:pStyle w:val="RecordMeta"/>
      </w:pPr>
      <w:r>
        <w:t>AG-006  ·  Hecho con aplicación o inferencia  ·  Z5</w:t>
      </w:r>
    </w:p>
    <w:p>
      <w:r>
        <w:t>El directorio de exportadores de Uruguay XXI registra a CALVASE Servicios S.A. en Ruta 8 km 256, José Pedro Varela. INASE es el organismo competente en identidad y calidad de semillas y administra, entre otros instrumentos, el Registro General de Semilleristas y el Registro Nacional de Cultivares. Con esos antecedentes puede investigarse una cadena de multiplicación bajo contrato, acondicionamiento, limpieza, análisis, almacenamiento y trazabilidad. La propuesta es una hipótesis de inversión: el directorio no demuestra que la empresa compre nuevos servicios ni certifica volumen de semilla, disponibilidad de cultivares o capacidad de planta. Antes de ofrecer un proyecto se deben validar con compradores y productores la especie, variedad, licencia, estándares, superficie y contratos; luego confirmar con INASE el régimen de registro y control aplicable a cada actividad. El rendimiento debe evaluarse en el predio, sin trasladar automáticamente resultados de otras zonas.</w:t>
      </w:r>
    </w:p>
    <w:p>
      <w:pPr>
        <w:pStyle w:val="RecordConditions"/>
      </w:pPr>
      <w:r>
        <w:rPr>
          <w:b/>
        </w:rPr>
        <w:t xml:space="preserve">Condiciones  </w:t>
      </w:r>
      <w:r>
        <w:t>Oportunidad inferida; no demanda contratada ni superficie disponible demostrada. Comprobar identidad varietal, derechos, registros y condiciones con INASE según actividad.</w:t>
      </w:r>
    </w:p>
    <w:p>
      <w:pPr>
        <w:pStyle w:val="SourceNote"/>
      </w:pPr>
      <w:r>
        <w:rPr>
          <w:b/>
        </w:rPr>
        <w:t xml:space="preserve">Fuentes  </w:t>
      </w:r>
      <w:hyperlink w:anchor="s_AG035">
        <w:r>
          <w:rPr>
            <w:color w:val="245C88"/>
            <w:u w:val="single"/>
          </w:rPr>
          <w:t>AG035</w:t>
        </w:r>
      </w:hyperlink>
      <w:r>
        <w:t xml:space="preserve">, </w:t>
      </w:r>
      <w:hyperlink w:anchor="s_AG036">
        <w:r>
          <w:rPr>
            <w:color w:val="245C88"/>
            <w:u w:val="single"/>
          </w:rPr>
          <w:t>AG036</w:t>
        </w:r>
      </w:hyperlink>
      <w:r>
        <w:t xml:space="preserve">  ·  AG036: CALVASE Servicios S.A.; AG035: cometidos y registros de semillas.</w:t>
      </w:r>
      <w:r>
        <w:t xml:space="preserve">  ·  Período: Situación documental al 19/10/2026</w:t>
      </w:r>
    </w:p>
    <w:p>
      <w:bookmarkStart w:id="45" w:name="r_AG_007"/>
      <w:pPr>
        <w:pStyle w:val="Heading2"/>
      </w:pPr>
      <w:r>
        <w:t>Ganadería de carne sanidad campo natural y servicios prediales</w:t>
      </w:r>
      <w:bookmarkEnd w:id="45"/>
    </w:p>
    <w:p>
      <w:pPr>
        <w:pStyle w:val="RecordMeta"/>
      </w:pPr>
      <w:r>
        <w:t>AG-007  ·  Hecho con aplicación o inferencia  ·  Z1, Z4, Z6</w:t>
      </w:r>
    </w:p>
    <w:p>
      <w:r>
        <w:t>La ganadería de carne es una línea prioritaria para profundizar servicios en Lavalleja. Un antecedente local verificable es la actividad técnica de MGAP realizada en junio de 2026 en Campanero, Ruta 8 km 124, sobre control de garrapata y prevención de residuos en carne. Como hipótesis comercial para predios y clientes del departamento, pueden analizarse servicios veterinarios, control de tratamientos y tiempos de espera, manejo de pasturas, medición de agua, pesaje y trazabilidad. La propuesta debe partir de establecimientos identificados y de su sistema productivo, sin suponer que todos los campos permiten intensificar del mismo modo. Para atender desde Mariscala–Pirarajá o Batlle y Ordóñez–Zapicán, es necesario medir recorridos, densidad de clientes y volumen contratado. Una jornada institucional demuestra actividad técnica; no prueba existencia de un subsidio vigente o mercado suficiente para financiar un nuevo proveedor.</w:t>
      </w:r>
    </w:p>
    <w:p>
      <w:pPr>
        <w:pStyle w:val="RecordConditions"/>
      </w:pPr>
      <w:r>
        <w:rPr>
          <w:b/>
        </w:rPr>
        <w:t xml:space="preserve">Condiciones  </w:t>
      </w:r>
      <w:r>
        <w:t>Hipótesis de servicios sujeta a clientes y contratos. No se ofrece un programa de financiamiento por una actividad técnica ya realizada.</w:t>
      </w:r>
    </w:p>
    <w:p>
      <w:pPr>
        <w:pStyle w:val="SourceNote"/>
      </w:pPr>
      <w:r>
        <w:rPr>
          <w:b/>
        </w:rPr>
        <w:t xml:space="preserve">Fuentes  </w:t>
      </w:r>
      <w:hyperlink w:anchor="s_AG040">
        <w:r>
          <w:rPr>
            <w:color w:val="245C88"/>
            <w:u w:val="single"/>
          </w:rPr>
          <w:t>AG040</w:t>
        </w:r>
      </w:hyperlink>
      <w:r>
        <w:t xml:space="preserve">  ·  AG040: fecha, lugar y tema de la actividad de MGAP.</w:t>
      </w:r>
      <w:r>
        <w:t xml:space="preserve">  ·  Período: Actividad técnica 16/06/2026; hipótesis comercial al corte</w:t>
      </w:r>
    </w:p>
    <w:p>
      <w:bookmarkStart w:id="46" w:name="r_AG_008"/>
      <w:pPr>
        <w:pStyle w:val="Heading2"/>
      </w:pPr>
      <w:r>
        <w:t>Engorde bovino a corral restricciones especiales en cuenca del Santa Lucía</w:t>
      </w:r>
      <w:bookmarkEnd w:id="46"/>
    </w:p>
    <w:p>
      <w:pPr>
        <w:pStyle w:val="RecordMeta"/>
      </w:pPr>
      <w:r>
        <w:t>AG-008  ·  Hecho o requisito documentado  ·  Ámbito específico descrito en la ficha</w:t>
      </w:r>
    </w:p>
    <w:p>
      <w:r>
        <w:t>En la parte de Lavalleja comprendida en la cuenca del Santa Lucía rige un condicionamiento territorial específico para encierros bovinos permanentes al aire libre alcanzados por el Decreto 162/014, cuya definición incluye una superficie igual o inferior a 45 m² por animal. Su artículo 9 excluye nuevas instalaciones de suelo urbano y suburbano y de la faja de cinco kilómetros desde sus límites, de áreas incorporadas al SNAP, de zonas de protección de acuíferos y de determinadas zonas inundables. También impide ubicarlas a menos de 500 metros de cursos o cuerpos de agua utilizados aguas abajo para captar agua potable, según la forma de medición establecida por la norma. El proyecto debe gestionar efluentes y escorrentía contaminada, además de la habilitación sanitaria correspondiente. Estas condiciones se aplican por cuenca y características del establecimiento, no a todo Lavalleja indiscriminadamente. Para vertidos, se debe incorporar el régimen del Decreto 226/025 y su transición, sin tratar la antigua referencia a 253/979 como norma general vigente.</w:t>
      </w:r>
    </w:p>
    <w:p>
      <w:pPr>
        <w:pStyle w:val="RecordConditions"/>
      </w:pPr>
      <w:r>
        <w:rPr>
          <w:b/>
        </w:rPr>
        <w:t xml:space="preserve">Condiciones  </w:t>
      </w:r>
      <w:r>
        <w:t>Delimitar cuenca y padrón; el Decreto 162/014 no convierte todo Lavalleja en zona excluida. Las distancias y demás supuestos legales requieren lectura íntegra del artículo 9 y mensura del proyecto. La habilitación sanitaria no sustituye autorización ambiental o de localización.</w:t>
      </w:r>
    </w:p>
    <w:p>
      <w:pPr>
        <w:pStyle w:val="SourceNote"/>
      </w:pPr>
      <w:r>
        <w:rPr>
          <w:b/>
        </w:rPr>
        <w:t xml:space="preserve">Fuentes  </w:t>
      </w:r>
      <w:hyperlink w:anchor="s_AG037">
        <w:r>
          <w:rPr>
            <w:color w:val="245C88"/>
            <w:u w:val="single"/>
          </w:rPr>
          <w:t>AG037</w:t>
        </w:r>
      </w:hyperlink>
      <w:r>
        <w:t xml:space="preserve">, </w:t>
      </w:r>
      <w:hyperlink w:anchor="s_AG038">
        <w:r>
          <w:rPr>
            <w:color w:val="245C88"/>
            <w:u w:val="single"/>
          </w:rPr>
          <w:t>AG038</w:t>
        </w:r>
      </w:hyperlink>
      <w:r>
        <w:t xml:space="preserve">, </w:t>
      </w:r>
      <w:hyperlink w:anchor="s_AG039">
        <w:r>
          <w:rPr>
            <w:color w:val="245C88"/>
            <w:u w:val="single"/>
          </w:rPr>
          <w:t>AG039</w:t>
        </w:r>
      </w:hyperlink>
      <w:r>
        <w:t xml:space="preserve">  ·  AG037: arts. 1, 2 y 9; AG038: arts. 79–83; AG039: habilitación sanitaria.</w:t>
      </w:r>
      <w:r>
        <w:t xml:space="preserve">  ·  Período: Situación documental al 19/10/2026</w:t>
      </w:r>
    </w:p>
    <w:p>
      <w:bookmarkStart w:id="47" w:name="r_AG_009"/>
      <w:pPr>
        <w:pStyle w:val="Heading2"/>
      </w:pPr>
      <w:r>
        <w:t>Lechería del suroeste y planes de producción lechera sostenible</w:t>
      </w:r>
      <w:bookmarkEnd w:id="47"/>
    </w:p>
    <w:p>
      <w:pPr>
        <w:pStyle w:val="RecordMeta"/>
      </w:pPr>
      <w:r>
        <w:t>AG-009  ·  Hecho con aplicación o inferencia  ·  Z2</w:t>
      </w:r>
    </w:p>
    <w:p>
      <w:r>
        <w:t>Una referencia oficial histórica identifica el suroeste de Lavalleja como parte de la cuenca lechera del sureste, compartida con áreas de otros departamentos. Esa referencia permite orientar una primera búsqueda de productores; no acredita la cantidad actual de tambos, su remisión o cupos de industria. En septiembre de 2026 MGAP reafirmó que los Planes de Lechería Sostenible abarcan a productores lecheros ubicados en la cuenca del Santa Lucía y los integró al SGPU 2.0. Por tanto, el plan aplicable depende de la cuenca real del predio, no solamente del departamento. Como hipótesis de inversión pueden estudiarse enfriamiento y medición de leche, energía para ordeñe, tratamiento de efluentes y servicios de alimentación, a partir de contratos concretos. Antes de ampliar un tambo se deben comprobar agua, manejo de nutrientes y recepción comercial; el desarrollo lechero no se presume viable en cualquier padrón serrano.</w:t>
      </w:r>
    </w:p>
    <w:p>
      <w:pPr>
        <w:pStyle w:val="RecordConditions"/>
      </w:pPr>
      <w:r>
        <w:rPr>
          <w:b/>
        </w:rPr>
        <w:t xml:space="preserve">Condiciones  </w:t>
      </w:r>
      <w:r>
        <w:t>Referencia de cuenca lechera histórica de 2014; no inventario vigente. PLS según cuenca del Santa Lucía; corroborar superposición por padrón. Z2 es solo referencia comercial.</w:t>
      </w:r>
    </w:p>
    <w:p>
      <w:pPr>
        <w:pStyle w:val="SourceNote"/>
      </w:pPr>
      <w:r>
        <w:rPr>
          <w:b/>
        </w:rPr>
        <w:t xml:space="preserve">Fuentes  </w:t>
      </w:r>
      <w:hyperlink w:anchor="s_AG003">
        <w:r>
          <w:rPr>
            <w:color w:val="245C88"/>
            <w:u w:val="single"/>
          </w:rPr>
          <w:t>AG003</w:t>
        </w:r>
      </w:hyperlink>
      <w:r>
        <w:t xml:space="preserve">, </w:t>
      </w:r>
      <w:hyperlink w:anchor="s_AG041">
        <w:r>
          <w:rPr>
            <w:color w:val="245C88"/>
            <w:u w:val="single"/>
          </w:rPr>
          <w:t>AG041</w:t>
        </w:r>
      </w:hyperlink>
      <w:r>
        <w:t xml:space="preserve">  ·  AG041: cuenca lechera del sureste; AG003: Planes de Lechería Sostenible.</w:t>
      </w:r>
      <w:r>
        <w:t xml:space="preserve">  ·  Período: Referencia territorial 2014; sistema de planes actualizado 02/09/2026</w:t>
      </w:r>
    </w:p>
    <w:p>
      <w:bookmarkStart w:id="48" w:name="r_AG_010"/>
      <w:pPr>
        <w:pStyle w:val="Heading2"/>
      </w:pPr>
      <w:r>
        <w:t>Quesería artesanal habilitación y diferenciación de producto</w:t>
      </w:r>
      <w:bookmarkEnd w:id="48"/>
    </w:p>
    <w:p>
      <w:pPr>
        <w:pStyle w:val="RecordMeta"/>
      </w:pPr>
      <w:r>
        <w:t>AG-010  ·  Hecho con aplicación o inferencia  ·  Z2</w:t>
      </w:r>
    </w:p>
    <w:p>
      <w:r>
        <w:t>Para una quesería artesanal en Lavalleja debe revisarse la habilitación específica ante los Servicios Ganaderos del MGAP, que dispone de un formulario oficial para esa actividad, junto con las habilitaciones alimentarias que correspondan. La inscripción de la empresa en RUNAEV no reemplaza esa verificación sectorial. En julio de 2026 INALE lanzó la marca Quesería Artesanal Certificada, descrita por MIEM como un instrumento de diferenciación basado en criterios productivos, ambientales y sociales verificables mediante evaluación, auditoría y seguimiento. Se trata de una vía de certificación que debe solicitarse y acreditarse; no es una calidad atribuible automáticamente a todo queso local. Como hipótesis para productores identificados del suroeste y otros puntos del departamento, podrían evaluarse salas, maduración, frío, comercialización gastronómica y visitas. El proyecto exige abastecimiento trazable, agua apta, control sanitario, gestión de efluentes y compradores; no hay capacidad de queserías disponible demostrada en esta ficha.</w:t>
      </w:r>
    </w:p>
    <w:p>
      <w:pPr>
        <w:pStyle w:val="RecordConditions"/>
      </w:pPr>
      <w:r>
        <w:rPr>
          <w:b/>
        </w:rPr>
        <w:t xml:space="preserve">Condiciones  </w:t>
      </w:r>
      <w:r>
        <w:t>Hipótesis de inversión; confirmar requisitos vigentes con DGSG y RUNAEV según proceso. La marca de certificación no acredita automáticamente a empresas de Lavalleja ni sustituye habilitaciones.</w:t>
      </w:r>
    </w:p>
    <w:p>
      <w:pPr>
        <w:pStyle w:val="SourceNote"/>
      </w:pPr>
      <w:r>
        <w:rPr>
          <w:b/>
        </w:rPr>
        <w:t xml:space="preserve">Fuentes  </w:t>
      </w:r>
      <w:hyperlink w:anchor="s_AG005">
        <w:r>
          <w:rPr>
            <w:color w:val="245C88"/>
            <w:u w:val="single"/>
          </w:rPr>
          <w:t>AG005</w:t>
        </w:r>
      </w:hyperlink>
      <w:r>
        <w:t xml:space="preserve">, </w:t>
      </w:r>
      <w:hyperlink w:anchor="s_AG006">
        <w:r>
          <w:rPr>
            <w:color w:val="245C88"/>
            <w:u w:val="single"/>
          </w:rPr>
          <w:t>AG006</w:t>
        </w:r>
      </w:hyperlink>
      <w:r>
        <w:t xml:space="preserve">, </w:t>
      </w:r>
      <w:hyperlink w:anchor="s_AG027">
        <w:r>
          <w:rPr>
            <w:color w:val="245C88"/>
            <w:u w:val="single"/>
          </w:rPr>
          <w:t>AG027</w:t>
        </w:r>
      </w:hyperlink>
      <w:r>
        <w:t xml:space="preserve">  ·  AG005: formulario de habilitación; AG006: lanzamiento y criterios; AG027: inscripción de empresa.</w:t>
      </w:r>
      <w:r>
        <w:t xml:space="preserve">  ·  Período: Situación documental al 19/10/2026</w:t>
      </w:r>
    </w:p>
    <w:p>
      <w:bookmarkStart w:id="49" w:name="r_AG_011"/>
      <w:pPr>
        <w:pStyle w:val="Heading2"/>
      </w:pPr>
      <w:r>
        <w:t>Horticultura y fruticultura diversificación por predio y cliente</w:t>
      </w:r>
      <w:bookmarkEnd w:id="49"/>
    </w:p>
    <w:p>
      <w:pPr>
        <w:pStyle w:val="RecordMeta"/>
      </w:pPr>
      <w:r>
        <w:t>AG-011  ·  Hecho con aplicación o inferencia  ·  Z1, Z2</w:t>
      </w:r>
    </w:p>
    <w:p>
      <w:r>
        <w:t>La Memoria Informativa de Lavalleja describe históricamente pequeñas explotaciones agrícolas en el suroeste y en áreas de la cuenca media del Santa Lucía. Ese antecedente sirve para investigar horticultura y fruticultura con productores existentes; no certifica que toda la zona admita el mismo cultivo. Una inversión puede plantear, como hipótesis, viveros, producción protegida, lavado, clasificación, empaque y distribución a comercios o gastronomía de Minas y corredores cercanos. La decisión debe apoyarse en especie, calendario, contratos y diagnóstico agronómico de cada padrón, especialmente drenaje, heladas, suelo y agua. Si hay riego, el régimen PUSA se aplica con independencia del área; si se procesan alimentos, deben definirse los requisitos de empresa, local y productos. No se deben presentar rendimientos, precios o ventajas climáticas como hechos locales sin ensayos y datos específicos. Las instalaciones de procesamiento requieren su propia compatibilidad territorial y gestión de efluentes.</w:t>
      </w:r>
    </w:p>
    <w:p>
      <w:pPr>
        <w:pStyle w:val="RecordConditions"/>
      </w:pPr>
      <w:r>
        <w:rPr>
          <w:b/>
        </w:rPr>
        <w:t xml:space="preserve">Condiciones  </w:t>
      </w:r>
      <w:r>
        <w:t>Geografía productiva histórica; hipótesis comercial sin superficie o demanda disponible demostradas. El riego de pequeña superficie también requiere verificar PUSA.</w:t>
      </w:r>
    </w:p>
    <w:p>
      <w:pPr>
        <w:pStyle w:val="SourceNote"/>
      </w:pPr>
      <w:r>
        <w:rPr>
          <w:b/>
        </w:rPr>
        <w:t xml:space="preserve">Fuentes  </w:t>
      </w:r>
      <w:hyperlink w:anchor="s_AG004">
        <w:r>
          <w:rPr>
            <w:color w:val="245C88"/>
            <w:u w:val="single"/>
          </w:rPr>
          <w:t>AG004</w:t>
        </w:r>
      </w:hyperlink>
      <w:r>
        <w:t xml:space="preserve">, </w:t>
      </w:r>
      <w:hyperlink w:anchor="s_AG003">
        <w:r>
          <w:rPr>
            <w:color w:val="245C88"/>
            <w:u w:val="single"/>
          </w:rPr>
          <w:t>AG003</w:t>
        </w:r>
      </w:hyperlink>
      <w:r>
        <w:t xml:space="preserve">, </w:t>
      </w:r>
      <w:hyperlink w:anchor="s_AG027">
        <w:r>
          <w:rPr>
            <w:color w:val="245C88"/>
            <w:u w:val="single"/>
          </w:rPr>
          <w:t>AG027</w:t>
        </w:r>
      </w:hyperlink>
      <w:r>
        <w:t xml:space="preserve">  ·  AG004: agricultura y suroeste; AG003: PUSA; AG027: alcance de RUNAEV.</w:t>
      </w:r>
      <w:r>
        <w:t xml:space="preserve">  ·  Período: Situación documental al 19/10/2026</w:t>
      </w:r>
    </w:p>
    <w:p>
      <w:bookmarkStart w:id="50" w:name="r_AG_012"/>
      <w:pPr>
        <w:pStyle w:val="Heading2"/>
      </w:pPr>
      <w:r>
        <w:t>Olivicultura y oleoturismo antecedente concreto sobre Ruta 12</w:t>
      </w:r>
      <w:bookmarkEnd w:id="50"/>
    </w:p>
    <w:p>
      <w:pPr>
        <w:pStyle w:val="RecordMeta"/>
      </w:pPr>
      <w:r>
        <w:t>AG-012  ·  Hecho con aplicación o inferencia  ·  Ámbito específico descrito en la ficha</w:t>
      </w:r>
    </w:p>
    <w:p>
      <w:r>
        <w:t>MGAP documentó el lanzamiento de la cosecha nacional de olivos de 2024 en el establecimiento Sabiá, Ruta 12 km 357, Lavalleja. Es evidencia de una actividad olivícola real en el departamento y de un punto concreto para analizar encadenamientos; no equivale a un estudio de aptitud para todos los suelos serranos. Como hipótesis de inversión pueden evaluarse cosecha y logística, servicios agronómicos, procesamiento de aceitunas, calidad de aceite, envasado y experiencias de oleoturismo, siempre con productores y compradores identificados. Antes de implantar un olivar o construir una almazara deben comprobarse variedades, drenaje, heladas, agua, rendimientos esperados y escala contratada. La noticia no demuestra disponibilidad actual de capacidad de molienda ni autorización para recibir residuos. La valorización de orujo o aguas de proceso exige caracterización y la vía ambiental correspondiente. La ubicación de un establecimiento existente tampoco habilita nuevos usos sobre parcelas vecinas.</w:t>
      </w:r>
    </w:p>
    <w:p>
      <w:pPr>
        <w:pStyle w:val="RecordConditions"/>
      </w:pPr>
      <w:r>
        <w:rPr>
          <w:b/>
        </w:rPr>
        <w:t xml:space="preserve">Condiciones  </w:t>
      </w:r>
      <w:r>
        <w:t>Antecedente documentado de 2024; no inventario operativo de 2026. Oportunidades propuestas sujetas a aptitud predial, contratos, habilitaciones alimentarias y gestión de residuos.</w:t>
      </w:r>
    </w:p>
    <w:p>
      <w:pPr>
        <w:pStyle w:val="SourceNote"/>
      </w:pPr>
      <w:r>
        <w:rPr>
          <w:b/>
        </w:rPr>
        <w:t xml:space="preserve">Fuentes  </w:t>
      </w:r>
      <w:hyperlink w:anchor="s_AG007">
        <w:r>
          <w:rPr>
            <w:color w:val="245C88"/>
            <w:u w:val="single"/>
          </w:rPr>
          <w:t>AG007</w:t>
        </w:r>
      </w:hyperlink>
      <w:r>
        <w:t xml:space="preserve">, </w:t>
      </w:r>
      <w:hyperlink w:anchor="s_AG008">
        <w:r>
          <w:rPr>
            <w:color w:val="245C88"/>
            <w:u w:val="single"/>
          </w:rPr>
          <w:t>AG008</w:t>
        </w:r>
      </w:hyperlink>
      <w:r>
        <w:t xml:space="preserve">, </w:t>
      </w:r>
      <w:hyperlink w:anchor="s_AG030">
        <w:r>
          <w:rPr>
            <w:color w:val="245C88"/>
            <w:u w:val="single"/>
          </w:rPr>
          <w:t>AG030</w:t>
        </w:r>
      </w:hyperlink>
      <w:r>
        <w:t xml:space="preserve">  ·  AG007: establecimiento Sabiá; AG008: Ruta 12 km 357; AG030: gestión de residuos.</w:t>
      </w:r>
      <w:r>
        <w:t xml:space="preserve">  ·  Período: Cosecha 2024; hipótesis a validar al corte 2026</w:t>
      </w:r>
    </w:p>
    <w:p>
      <w:bookmarkStart w:id="51" w:name="r_AG_013"/>
      <w:pPr>
        <w:pStyle w:val="Heading2"/>
      </w:pPr>
      <w:r>
        <w:t>Vitivinicultura y enoturismo referencia en Solís de Mataojo</w:t>
      </w:r>
      <w:bookmarkEnd w:id="51"/>
    </w:p>
    <w:p>
      <w:pPr>
        <w:pStyle w:val="RecordMeta"/>
      </w:pPr>
      <w:r>
        <w:t>AG-013  ·  Hecho con aplicación o inferencia  ·  Z2</w:t>
      </w:r>
    </w:p>
    <w:p>
      <w:r>
        <w:t>El directorio oficial de INAVI para Lavalleja incluye MATAOJO–EBATEL S.A., en Ruta 8 km 91. La entrada ofrece un anclaje territorial para estudiar la cadena vitivinícola próxima a Solís de Mataojo. No demuestra que sea la única explotación vitícola del departamento, que disponga de capacidad ociosa o que busque inversión. Como hipótesis pueden evaluarse servicios de viñedo, microvinificación bajo acuerdos habilitados, conservación y distribución, venta especializada y enoturismo. Antes de promover una nueva plantación se deben verificar suelo, drenaje, microclima, variedades, agua, sanidad y resultados de parcelas comparables; la presencia de una bodega no asegura idéntica aptitud en toda la zona. Para elaborar y comercializar vino deben confirmarse con INAVI los registros y controles correspondientes a la actividad y con la Intendencia las condiciones del local y de atención de visitantes. Z2 es una referencia comercial, no un área vitivinícola autorizada.</w:t>
      </w:r>
    </w:p>
    <w:p>
      <w:pPr>
        <w:pStyle w:val="RecordConditions"/>
      </w:pPr>
      <w:r>
        <w:rPr>
          <w:b/>
        </w:rPr>
        <w:t xml:space="preserve">Condiciones  </w:t>
      </w:r>
      <w:r>
        <w:t>Directorio consultado al corte; no censo exhaustivo ni oferta de capacidad. Hipótesis de inversión, sujeta a verificación predial, acuerdos y controles de INAVI.</w:t>
      </w:r>
    </w:p>
    <w:p>
      <w:pPr>
        <w:pStyle w:val="SourceNote"/>
      </w:pPr>
      <w:r>
        <w:rPr>
          <w:b/>
        </w:rPr>
        <w:t xml:space="preserve">Fuentes  </w:t>
      </w:r>
      <w:hyperlink w:anchor="s_AG009">
        <w:r>
          <w:rPr>
            <w:color w:val="245C88"/>
            <w:u w:val="single"/>
          </w:rPr>
          <w:t>AG009</w:t>
        </w:r>
      </w:hyperlink>
      <w:r>
        <w:t xml:space="preserve">  ·  AG009: directorio Lavalleja, MATAOJO–EBATEL S.A., Ruta 8 km 91.</w:t>
      </w:r>
      <w:r>
        <w:t xml:space="preserve">  ·  Período: Situación documental al 19/10/2026</w:t>
      </w:r>
    </w:p>
    <w:p>
      <w:bookmarkStart w:id="52" w:name="r_AG_014"/>
      <w:pPr>
        <w:pStyle w:val="Heading2"/>
      </w:pPr>
      <w:r>
        <w:t>Apicultura producción servicios de polinización y articulación local</w:t>
      </w:r>
      <w:bookmarkEnd w:id="52"/>
    </w:p>
    <w:p>
      <w:pPr>
        <w:pStyle w:val="RecordMeta"/>
      </w:pPr>
      <w:r>
        <w:t>AG-014  ·  Hecho con aplicación o inferencia  ·  Z1, Z5</w:t>
      </w:r>
    </w:p>
    <w:p>
      <w:r>
        <w:t>MGAP documentó actividades del Día Mundial de las Abejas 2026 en Minas y José Pedro Varela, con participación de instituciones y organizaciones vinculadas a la apicultura. Esto demuestra articulación local reciente y justifica profundizar el rubro en la base de conocimiento, sin inferir un censo de colmenas o volumen de miel. Como hipótesis de inversión pueden investigarse servicios de manejo sanitario, recambio de material, trazabilidad y polinización bajo contrato. El punto de partida debe ser un mapa de apiarios y clientes concretos, con permisos de acceso, calendario floral, agua y coordinación con aplicaciones de fitosanitarios. La actividad primaria dispone del Registro Nacional de Apicultores; registrar al productor no habilita por sí solo una sala de extracción. Las ubicaciones de las jornadas no equivalen a una zonificación apícola ni prueban aptitud de todos los predios de Minas o Varela.</w:t>
      </w:r>
    </w:p>
    <w:p>
      <w:pPr>
        <w:pStyle w:val="RecordConditions"/>
      </w:pPr>
      <w:r>
        <w:rPr>
          <w:b/>
        </w:rPr>
        <w:t xml:space="preserve">Condiciones  </w:t>
      </w:r>
      <w:r>
        <w:t>Evidencia institucional de 2026; no cifras locales de colmenas o producción. Hipótesis sujeta a acceso al predio, disponibilidad floral, sanidad y contratos.</w:t>
      </w:r>
    </w:p>
    <w:p>
      <w:pPr>
        <w:pStyle w:val="SourceNote"/>
      </w:pPr>
      <w:r>
        <w:rPr>
          <w:b/>
        </w:rPr>
        <w:t xml:space="preserve">Fuentes  </w:t>
      </w:r>
      <w:hyperlink w:anchor="s_AG010">
        <w:r>
          <w:rPr>
            <w:color w:val="245C88"/>
            <w:u w:val="single"/>
          </w:rPr>
          <w:t>AG010</w:t>
        </w:r>
      </w:hyperlink>
      <w:r>
        <w:t xml:space="preserve">, </w:t>
      </w:r>
      <w:hyperlink w:anchor="s_AG011">
        <w:r>
          <w:rPr>
            <w:color w:val="245C88"/>
            <w:u w:val="single"/>
          </w:rPr>
          <w:t>AG011</w:t>
        </w:r>
      </w:hyperlink>
      <w:r>
        <w:t xml:space="preserve">  ·  AG010: Minas y José Pedro Varela; AG011: Registro Nacional de Apicultores.</w:t>
      </w:r>
      <w:r>
        <w:t xml:space="preserve">  ·  Período: Situación documental al 19/10/2026</w:t>
      </w:r>
    </w:p>
    <w:p>
      <w:bookmarkStart w:id="53" w:name="r_AG_015"/>
      <w:pPr>
        <w:pStyle w:val="Heading2"/>
      </w:pPr>
      <w:r>
        <w:t>Miel sala de extracción habilitación y trazabilidad</w:t>
      </w:r>
      <w:bookmarkEnd w:id="53"/>
    </w:p>
    <w:p>
      <w:pPr>
        <w:pStyle w:val="RecordMeta"/>
      </w:pPr>
      <w:r>
        <w:t>AG-015  ·  Hecho con aplicación o inferencia  ·  Ámbito específico descrito en la ficha</w:t>
      </w:r>
    </w:p>
    <w:p>
      <w:r>
        <w:t>Para instalar o contratar una sala de extracción de miel en Lavalleja, MGAP dispone del Registro Nacional de Salas de Extracción y de una vía de habilitación higiénico sanitaria. El trámite exige potabilidad de agua, planos, descripción del proceso y técnico habilitado. La habilitación dura un año y se deben cargar semanalmente los movimientos de la sala. El estado y vencimiento deben comprobarse para la sala específica al contratar. Es distinto del registro del apicultor como productor primario. Como hipótesis comercial se pueden estudiar salas compartidas, almacenamiento y trazabilidad de lotes, o envasado de miel para gastronomía y venta minorista, sujetos a escala, habilitaciones y compradores. Esta ficha no identifica capacidad disponible ni afirma que una sala esté habilitada para cualquier mercado de exportación. Si el proyecto incluye fraccionamiento, elaboración o distribución alimentaria, debe delimitarse también el alcance de RUNAEV y de los demás controles aplicables. La demanda y la logística se deben comprobar con apiarios reales, sin deducirlas de una actividad de difusión institucional.</w:t>
      </w:r>
    </w:p>
    <w:p>
      <w:pPr>
        <w:pStyle w:val="RecordConditions"/>
      </w:pPr>
      <w:r>
        <w:rPr>
          <w:b/>
        </w:rPr>
        <w:t xml:space="preserve">Condiciones  </w:t>
      </w:r>
      <w:r>
        <w:t>Verificar sala y vencimiento en SINATPA antes de contratar. Registro de apicultor, habilitación de sala y requisitos del mercado son verificaciones distintas. Habilitación anual y movimientos semanales según trámite actualizado 15/04/2026.</w:t>
      </w:r>
    </w:p>
    <w:p>
      <w:pPr>
        <w:pStyle w:val="SourceNote"/>
      </w:pPr>
      <w:r>
        <w:rPr>
          <w:b/>
        </w:rPr>
        <w:t xml:space="preserve">Fuentes  </w:t>
      </w:r>
      <w:hyperlink w:anchor="s_AG012">
        <w:r>
          <w:rPr>
            <w:color w:val="245C88"/>
            <w:u w:val="single"/>
          </w:rPr>
          <w:t>AG012</w:t>
        </w:r>
      </w:hyperlink>
      <w:r>
        <w:t xml:space="preserve">, </w:t>
      </w:r>
      <w:hyperlink w:anchor="s_AG027">
        <w:r>
          <w:rPr>
            <w:color w:val="245C88"/>
            <w:u w:val="single"/>
          </w:rPr>
          <w:t>AG027</w:t>
        </w:r>
      </w:hyperlink>
      <w:r>
        <w:t xml:space="preserve">  ·  AG012: registro de salas; consulta SINATPA https://www.mgap.gub.uy/Sinatpa/consultarsalashabilitadas.aspx; AG027: RUNAEV.</w:t>
      </w:r>
      <w:r>
        <w:t xml:space="preserve">  ·  Período: Situación documental al 19/10/2026</w:t>
      </w:r>
    </w:p>
    <w:p>
      <w:bookmarkStart w:id="54" w:name="r_AG_016"/>
      <w:pPr>
        <w:pStyle w:val="Heading2"/>
      </w:pPr>
      <w:r>
        <w:t>Forestación cambio normativo de julio de 2026 y aptitud del suelo</w:t>
      </w:r>
      <w:bookmarkEnd w:id="54"/>
    </w:p>
    <w:p>
      <w:pPr>
        <w:pStyle w:val="RecordMeta"/>
      </w:pPr>
      <w:r>
        <w:t>AG-016  ·  Hecho o requisito documentado  ·  Ámbito específico descrito en la ficha</w:t>
      </w:r>
    </w:p>
    <w:p>
      <w:r>
        <w:t>Para analizar nuevas plantaciones forestales en Lavalleja se debe usar el régimen actualizado en 2026. El Decreto 179/026 derogó el Decreto 3/025 y modificó el Decreto 405/021. El artículo 9 actualizado incluye, además de suelos de prioridad forestal, determinados suelos ya forestados conforme al régimen vigente al realizar la plantación, y clases de capacidad de uso USDA VI, VII y IVe en las condiciones de la norma. Son categorías que deben acreditarse técnicamente; no autorizaciones generales para plantar en cualquier sitio. El artículo 9 bis regula proporciones limitadas de otros suelos y un supuesto específico de plantaciones anteriores a 2013 sujeto a compensación aprobada. Además, el Decreto 179/026 prevé reglas para expedientes pendientes. La evaluación nacional debe complementarse con las restricciones departamentales y de áreas protegidas aplicables al padrón. No corresponde deducir que toda la superficie de Lavalleja clasificada comercialmente como forestal puede plantarse.</w:t>
      </w:r>
    </w:p>
    <w:p>
      <w:pPr>
        <w:pStyle w:val="RecordConditions"/>
      </w:pPr>
      <w:r>
        <w:rPr>
          <w:b/>
        </w:rPr>
        <w:t xml:space="preserve">Condiciones  </w:t>
      </w:r>
      <w:r>
        <w:t>Decreto 3/025 derogado por 179/026; revisar fecha y estado del expediente. Aptitud forestal nacional y compatibilidad territorial departamental son controles concurrentes. No se cartografió ni certificó aptitud de un padrón concreto.</w:t>
      </w:r>
    </w:p>
    <w:p>
      <w:pPr>
        <w:pStyle w:val="SourceNote"/>
      </w:pPr>
      <w:r>
        <w:rPr>
          <w:b/>
        </w:rPr>
        <w:t xml:space="preserve">Fuentes  </w:t>
      </w:r>
      <w:hyperlink w:anchor="s_AG013">
        <w:r>
          <w:rPr>
            <w:color w:val="245C88"/>
            <w:u w:val="single"/>
          </w:rPr>
          <w:t>AG013</w:t>
        </w:r>
      </w:hyperlink>
      <w:r>
        <w:t xml:space="preserve">, </w:t>
      </w:r>
      <w:hyperlink w:anchor="s_AG014">
        <w:r>
          <w:rPr>
            <w:color w:val="245C88"/>
            <w:u w:val="single"/>
          </w:rPr>
          <w:t>AG014</w:t>
        </w:r>
      </w:hyperlink>
      <w:r>
        <w:t xml:space="preserve">, </w:t>
      </w:r>
      <w:hyperlink w:anchor="s_AG015">
        <w:r>
          <w:rPr>
            <w:color w:val="245C88"/>
            <w:u w:val="single"/>
          </w:rPr>
          <w:t>AG015</w:t>
        </w:r>
      </w:hyperlink>
      <w:r>
        <w:t xml:space="preserve">  ·  AG013: arts. 1–5; AG014: art. 9 vigente; AG015: art. 9 bis.</w:t>
      </w:r>
      <w:r>
        <w:t xml:space="preserve">  ·  Período: Situación documental al 19/10/2026</w:t>
      </w:r>
    </w:p>
    <w:p>
      <w:bookmarkStart w:id="55" w:name="r_AG_017"/>
      <w:pPr>
        <w:pStyle w:val="Heading2"/>
      </w:pPr>
      <w:r>
        <w:t>Forestación entre 40 y 100 hectáreas registro ambiental previo</w:t>
      </w:r>
      <w:bookmarkEnd w:id="55"/>
    </w:p>
    <w:p>
      <w:pPr>
        <w:pStyle w:val="RecordMeta"/>
      </w:pPr>
      <w:r>
        <w:t>AG-017  ·  Hecho o requisito documentado  ·  Ámbito específico descrito en la ficha</w:t>
      </w:r>
    </w:p>
    <w:p>
      <w:r>
        <w:t>El trámite oficial del Ministerio de Ambiente, actualizado el 18 de agosto de 2026, indica que las plantaciones forestales de entre 40 y 100 hectáreas afectadas deben solicitar el registro del proyecto para iniciar la ejecución de la plantación. Exige un responsable técnico con formación del área agronómica y documentación del titular, dentro del marco del Decreto 405/021. Por tanto, una plantación de ese tamaño no debe presentarse al inversor como exenta de control ambiental por quedar por debajo del umbral de proyectos mayores. Las nuevas plantaciones de más de 100 hectáreas en un establecimiento o unidad de producción requieren Autorización Ambiental Previa, conforme al régimen citado en el Decreto 179/026; las ampliaciones deben analizarse con DINACEA. En todos los casos deben revisarse aptitud de suelos y restricciones territoriales del padrón. El registro ambiental no es una reserva de terreno ni confirma acceso comercial a agua, energía o caminos.</w:t>
      </w:r>
    </w:p>
    <w:p>
      <w:pPr>
        <w:pStyle w:val="RecordConditions"/>
      </w:pPr>
      <w:r>
        <w:rPr>
          <w:b/>
        </w:rPr>
        <w:t xml:space="preserve">Condiciones  </w:t>
      </w:r>
      <w:r>
        <w:t>El trámite expresa hectáreas afectadas, no solo superficie efectiva con árboles. Confirmar cómputo y unidad de producción con DINACEA. No inferir exención general para proyectos menores; subsisten normas de suelo, agua, bosque nativo y territorio.</w:t>
      </w:r>
    </w:p>
    <w:p>
      <w:pPr>
        <w:pStyle w:val="SourceNote"/>
      </w:pPr>
      <w:r>
        <w:rPr>
          <w:b/>
        </w:rPr>
        <w:t xml:space="preserve">Fuentes  </w:t>
      </w:r>
      <w:hyperlink w:anchor="s_AG016">
        <w:r>
          <w:rPr>
            <w:color w:val="245C88"/>
            <w:u w:val="single"/>
          </w:rPr>
          <w:t>AG016</w:t>
        </w:r>
      </w:hyperlink>
      <w:r>
        <w:t xml:space="preserve">, </w:t>
      </w:r>
      <w:hyperlink w:anchor="s_AG013">
        <w:r>
          <w:rPr>
            <w:color w:val="245C88"/>
            <w:u w:val="single"/>
          </w:rPr>
          <w:t>AG013</w:t>
        </w:r>
      </w:hyperlink>
      <w:r>
        <w:t xml:space="preserve">  ·  AG016: descripción y requisitos; AG013: marco ambiental actualizado en 2026.</w:t>
      </w:r>
      <w:r>
        <w:t xml:space="preserve">  ·  Período: Situación documental al 19/10/2026</w:t>
      </w:r>
    </w:p>
    <w:p>
      <w:bookmarkStart w:id="56" w:name="r_AG_018"/>
      <w:pPr>
        <w:pStyle w:val="Heading2"/>
      </w:pPr>
      <w:r>
        <w:t>Evaluación forestal cuencas paisaje y efectos acumulados</w:t>
      </w:r>
      <w:bookmarkEnd w:id="56"/>
    </w:p>
    <w:p>
      <w:pPr>
        <w:pStyle w:val="RecordMeta"/>
      </w:pPr>
      <w:r>
        <w:t>AG-018  ·  Hecho o requisito documentado  ·  Ámbito específico descrito en la ficha</w:t>
      </w:r>
    </w:p>
    <w:p>
      <w:r>
        <w:t>La Resolución del Ministerio de Ambiente 753/2026 estableció criterios de clasificación para proyectos forestales y ampliaciones. La información exigida incluye superficies por padrón, grupos CONEAT, diseño de rodales y estudios de capacidad de uso del suelo cuando corresponde. La evaluación considera ecosistemas naturales, áreas protegidas, paisaje y efectos de cobertura forestal acumulada en cuencas, por lo que el análisis no se agota en la parcela que se compra. Esto es especialmente relevante al estudiar proyectos en sierras y lomadas de Lavalleja o en cuencas abastecedoras de agua. Las categorías de clasificación ambiental describen la profundidad de evaluación; no conceden por sí mismas una autorización. En particular, que un criterio contemple proyectos en áreas protegidas no vuelve compatible un uso prohibido por otra norma. Para determinar la categoría del proyecto se debe aplicar íntegramente el anexo oficial a las características de la cuenca y del predio.</w:t>
      </w:r>
    </w:p>
    <w:p>
      <w:pPr>
        <w:pStyle w:val="RecordConditions"/>
      </w:pPr>
      <w:r>
        <w:rPr>
          <w:b/>
        </w:rPr>
        <w:t xml:space="preserve">Condiciones  </w:t>
      </w:r>
      <w:r>
        <w:t>Clasificación ambiental no equivale a autorización ni desplaza prohibiciones territoriales o de áreas protegidas. Aplicar íntegramente los criterios del anexo oficial; no inferir un umbral general de cobertura válido para cualquier cuenca.</w:t>
      </w:r>
    </w:p>
    <w:p>
      <w:pPr>
        <w:pStyle w:val="SourceNote"/>
      </w:pPr>
      <w:r>
        <w:rPr>
          <w:b/>
        </w:rPr>
        <w:t xml:space="preserve">Fuentes  </w:t>
      </w:r>
      <w:hyperlink w:anchor="s_AG017">
        <w:r>
          <w:rPr>
            <w:color w:val="245C88"/>
            <w:u w:val="single"/>
          </w:rPr>
          <w:t>AG017</w:t>
        </w:r>
      </w:hyperlink>
      <w:r>
        <w:t xml:space="preserve">  ·  AG017: anexo de criterios, información de suelos, ecosistemas, paisaje y cobertura por cuencas.</w:t>
      </w:r>
      <w:r>
        <w:t xml:space="preserve">  ·  Período: Situación documental al 19/10/2026</w:t>
      </w:r>
    </w:p>
    <w:p>
      <w:bookmarkStart w:id="57" w:name="r_AG_019"/>
      <w:pPr>
        <w:pStyle w:val="Heading2"/>
      </w:pPr>
      <w:r>
        <w:t>Compra de montes revisar los ciclos de la autorización ambiental</w:t>
      </w:r>
      <w:bookmarkEnd w:id="57"/>
    </w:p>
    <w:p>
      <w:pPr>
        <w:pStyle w:val="RecordMeta"/>
      </w:pPr>
      <w:r>
        <w:t>AG-019  ·  Hecho o requisito documentado  ·  Ámbito específico descrito en la ficha</w:t>
      </w:r>
    </w:p>
    <w:p>
      <w:r>
        <w:t>Una resolución del Ministerio de Ambiente de agosto de 2026 aclaró el alcance temporal de autorizaciones ambientales forestales otorgadas antes del Decreto 405/021 cuando el acto no especificó el número de ciclos. Para esos casos establece hasta dos ciclos de plantación con destino a celulosa o uno con destino a madera sólida, exceptuando las autorizaciones ya modificadas o completadas individualmente a esos efectos. Por ello, comprar un campo forestado o un monte en pie en Lavalleja exige revisar la resolución individual, su fecha, destino, ciclos efectivamente realizados y eventuales modificaciones. La mera existencia de árboles o de una autorización antigua no acredita un derecho indefinido de replantación. Esta revisión debe integrarse a la evaluación de edad, especie, calidad, volumen y contratos de compra de madera. Ninguno de esos parámetros productivos fue medido para un activo concreto en esta ficha.</w:t>
      </w:r>
    </w:p>
    <w:p>
      <w:pPr>
        <w:pStyle w:val="RecordConditions"/>
      </w:pPr>
      <w:r>
        <w:rPr>
          <w:b/>
        </w:rPr>
        <w:t xml:space="preserve">Condiciones  </w:t>
      </w:r>
      <w:r>
        <w:t>Aplicable a autorizaciones anteriores a 405/021 sin ciclos expresos, con las excepciones de la resolución. Revisar expediente individual y ciclos ya cumplidos antes de valorar replantaciones futuras.</w:t>
      </w:r>
    </w:p>
    <w:p>
      <w:pPr>
        <w:pStyle w:val="SourceNote"/>
      </w:pPr>
      <w:r>
        <w:rPr>
          <w:b/>
        </w:rPr>
        <w:t xml:space="preserve">Fuentes  </w:t>
      </w:r>
      <w:hyperlink w:anchor="s_AG018">
        <w:r>
          <w:rPr>
            <w:color w:val="245C88"/>
            <w:u w:val="single"/>
          </w:rPr>
          <w:t>AG018</w:t>
        </w:r>
      </w:hyperlink>
      <w:r>
        <w:t xml:space="preserve">  ·  AG018: numeral 1 y excepciones sobre ciclos autorizados.</w:t>
      </w:r>
      <w:r>
        <w:t xml:space="preserve">  ·  Período: Situación documental al 19/10/2026</w:t>
      </w:r>
    </w:p>
    <w:p>
      <w:bookmarkStart w:id="58" w:name="r_AG_020"/>
      <w:pPr>
        <w:pStyle w:val="Heading2"/>
      </w:pPr>
      <w:r>
        <w:t>Madera aserrado y construcción separar oferta regional de proyecto viable</w:t>
      </w:r>
      <w:bookmarkEnd w:id="58"/>
    </w:p>
    <w:p>
      <w:pPr>
        <w:pStyle w:val="RecordMeta"/>
      </w:pPr>
      <w:r>
        <w:t>AG-020  ·  Hipótesis de inversión  ·  Z4, Z6</w:t>
      </w:r>
    </w:p>
    <w:p>
      <w:r>
        <w:t>El informe forestal 2026 de Uruguay XXI presenta cadenas nacionales de transformación de madera, construcción y biomasa. Ese marco permite formular, como hipótesis para Lavalleja, servicios de cosecha y transporte, secado, aserrado, clasificación y componentes de madera. La eventual base en Mariscala–Pirarajá o Batlle y Ordóñez–Zapicán es una hipótesis de localización comercial, no una zona industrial autorizada ni prueba de suministro disponible. Antes de adquirir equipos se necesita un inventario contratado por especie, diámetro, edad y calidad; un destino industrial y estándares del comprador; y un cálculo de distancias, acceso vial, energía y estacionalidad. No deben trasladarse al departamento las cifras nacionales de pino, eucalipto o exportación como materia prima propia. Si se integra producción forestal, deben comprobarse los permisos y ciclos del monte; si se instala una planta, debe tramitarse su compatibilidad territorial y gestión de polvo, ruido, efluentes y residuos.</w:t>
      </w:r>
    </w:p>
    <w:p>
      <w:pPr>
        <w:pStyle w:val="RecordConditions"/>
      </w:pPr>
      <w:r>
        <w:rPr>
          <w:b/>
        </w:rPr>
        <w:t xml:space="preserve">Condiciones  </w:t>
      </w:r>
      <w:r>
        <w:t>Hipótesis de negocio y de localización; requiere abastecimiento y venta contratados. Informe nacional no demuestra oferta departamental ni disponibilidad de predios o energía.</w:t>
      </w:r>
    </w:p>
    <w:p>
      <w:pPr>
        <w:pStyle w:val="SourceNote"/>
      </w:pPr>
      <w:r>
        <w:rPr>
          <w:b/>
        </w:rPr>
        <w:t xml:space="preserve">Fuentes  </w:t>
      </w:r>
      <w:hyperlink w:anchor="s_AG019">
        <w:r>
          <w:rPr>
            <w:color w:val="245C88"/>
            <w:u w:val="single"/>
          </w:rPr>
          <w:t>AG019</w:t>
        </w:r>
      </w:hyperlink>
      <w:r>
        <w:t xml:space="preserve">, </w:t>
      </w:r>
      <w:hyperlink w:anchor="s_AG018">
        <w:r>
          <w:rPr>
            <w:color w:val="245C88"/>
            <w:u w:val="single"/>
          </w:rPr>
          <w:t>AG018</w:t>
        </w:r>
      </w:hyperlink>
      <w:r>
        <w:t xml:space="preserve">, </w:t>
      </w:r>
      <w:hyperlink w:anchor="s_AG030">
        <w:r>
          <w:rPr>
            <w:color w:val="245C88"/>
            <w:u w:val="single"/>
          </w:rPr>
          <w:t>AG030</w:t>
        </w:r>
      </w:hyperlink>
      <w:r>
        <w:t xml:space="preserve">  ·  AG019: cadenas nacionales de madera; AG018: ciclos del monte; AG030: residuos industriales.</w:t>
      </w:r>
      <w:r>
        <w:t xml:space="preserve">  ·  Período: Situación documental al 19/10/2026</w:t>
      </w:r>
    </w:p>
    <w:p>
      <w:bookmarkStart w:id="59" w:name="r_AG_021"/>
      <w:pPr>
        <w:pStyle w:val="Heading2"/>
      </w:pPr>
      <w:r>
        <w:t>Bosque nativo silvopastoreo y productos forestales manejo autorizado</w:t>
      </w:r>
      <w:bookmarkEnd w:id="59"/>
    </w:p>
    <w:p>
      <w:pPr>
        <w:pStyle w:val="RecordMeta"/>
      </w:pPr>
      <w:r>
        <w:t>AG-021  ·  Hecho con aplicación o inferencia  ·  Ámbito específico descrito en la ficha</w:t>
      </w:r>
    </w:p>
    <w:p>
      <w:r>
        <w:t>El MGAP dispone de un trámite de corta y aprovechamiento del bosque nativo basado en un Plan de Manejo, y de guías de tránsito para sus productos. Su Dirección General Forestal indica que la corta y manejo requieren solicitud y actuación conforme a la resolución que se emita. Para inversiones rurales en Lavalleja, incluidos predios serranos o ribereños, no debe considerarse el bosque nativo una superficie libre para desmontar, abrir accesos o abastecer biomasa. Como hipótesis pueden estudiarse servicios profesionales de inventario, manejo autorizado, control de especies invasoras y sistemas productivos que conserven las funciones del monte. La compatibilidad con ganadería o visitas debe diseñarse para el predio y sus restricciones; no equivale a autorización para cortar. Cuando el producto se transporte, corresponde verificar también la documentación de tránsito. Esta ficha no identifica volúmenes de leña aprovechables ni derechos concedidos a ningún establecimiento.</w:t>
      </w:r>
    </w:p>
    <w:p>
      <w:pPr>
        <w:pStyle w:val="RecordConditions"/>
      </w:pPr>
      <w:r>
        <w:rPr>
          <w:b/>
        </w:rPr>
        <w:t xml:space="preserve">Condiciones  </w:t>
      </w:r>
      <w:r>
        <w:t>Verificar autorización de manejo y corta de DGF y condiciones del predio antes de intervenir. Hipótesis de servicios sin volúmenes o permisos prediales acreditados.</w:t>
      </w:r>
    </w:p>
    <w:p>
      <w:pPr>
        <w:pStyle w:val="SourceNote"/>
      </w:pPr>
      <w:r>
        <w:rPr>
          <w:b/>
        </w:rPr>
        <w:t xml:space="preserve">Fuentes  </w:t>
      </w:r>
      <w:hyperlink w:anchor="s_AG020">
        <w:r>
          <w:rPr>
            <w:color w:val="245C88"/>
            <w:u w:val="single"/>
          </w:rPr>
          <w:t>AG020</w:t>
        </w:r>
      </w:hyperlink>
      <w:r>
        <w:t xml:space="preserve">, </w:t>
      </w:r>
      <w:hyperlink w:anchor="s_AG021">
        <w:r>
          <w:rPr>
            <w:color w:val="245C88"/>
            <w:u w:val="single"/>
          </w:rPr>
          <w:t>AG021</w:t>
        </w:r>
      </w:hyperlink>
      <w:r>
        <w:t xml:space="preserve">  ·  AG020: solicitud de Plan de Manejo; AG021: guías de tránsito.</w:t>
      </w:r>
      <w:r>
        <w:t xml:space="preserve">  ·  Período: Situación documental al 19/10/2026</w:t>
      </w:r>
    </w:p>
    <w:p>
      <w:bookmarkStart w:id="60" w:name="r_AG_022"/>
      <w:pPr>
        <w:pStyle w:val="Heading2"/>
      </w:pPr>
      <w:r>
        <w:t>Minerales industriales y piedra mapa de antecedentes no reservas certificadas</w:t>
      </w:r>
      <w:bookmarkEnd w:id="60"/>
    </w:p>
    <w:p>
      <w:pPr>
        <w:pStyle w:val="RecordMeta"/>
      </w:pPr>
      <w:r>
        <w:t>AG-022  ·  Hecho con aplicación o inferencia  ·  Z1, Z4, Z7</w:t>
      </w:r>
    </w:p>
    <w:p>
      <w:r>
        <w:t>La Memoria Informativa departamental contiene antecedentes de calizas y dolomías en el entorno de Minas y Barriga Negra, mármoles vinculados a Polanco y Pirarajá, piedra laja al sur de Minas sobre Ruta 60 y talco en Los Tapes, próximo a Mariscala. Son referencias históricas de ocurrencias y actividades; no reservas medidas ni prueba de explotaciones activas en 2026. Sirven para orientar hipótesis de prospección, caracterización mineral, piedra ornamental y materiales industriales. El siguiente paso es consultar cartografía y afectaciones de DINAMIGE, delimitar el cuerpo geológico y realizar muestreo y estudios técnicos bajo el permiso correspondiente. La viabilidad depende de calidad, recuperación, acceso, agua, energía, mercado y restricciones territoriales; la cercanía a una ocurrencia no asegura mineral aprovechable en un padrón vecino. Tampoco la denominación de Geoparque habilita extracción minera. Las referencias Z1, Z4 y Z7 son comerciales y no polígonos de autorización.</w:t>
      </w:r>
    </w:p>
    <w:p>
      <w:pPr>
        <w:pStyle w:val="RecordConditions"/>
      </w:pPr>
      <w:r>
        <w:rPr>
          <w:b/>
        </w:rPr>
        <w:t xml:space="preserve">Condiciones  </w:t>
      </w:r>
      <w:r>
        <w:t>Antecedentes históricos: no reservas, recursos medidos ni minas activas certificados. La consulta geológica y una zona comercial no sustituyen títulos mineros, permisos ambientales o compatibilidad territorial.</w:t>
      </w:r>
    </w:p>
    <w:p>
      <w:pPr>
        <w:pStyle w:val="SourceNote"/>
      </w:pPr>
      <w:r>
        <w:rPr>
          <w:b/>
        </w:rPr>
        <w:t xml:space="preserve">Fuentes  </w:t>
      </w:r>
      <w:hyperlink w:anchor="s_AG004">
        <w:r>
          <w:rPr>
            <w:color w:val="245C88"/>
            <w:u w:val="single"/>
          </w:rPr>
          <w:t>AG004</w:t>
        </w:r>
      </w:hyperlink>
      <w:r>
        <w:t xml:space="preserve">, </w:t>
      </w:r>
      <w:hyperlink w:anchor="s_AG022">
        <w:r>
          <w:rPr>
            <w:color w:val="245C88"/>
            <w:u w:val="single"/>
          </w:rPr>
          <w:t>AG022</w:t>
        </w:r>
      </w:hyperlink>
      <w:r>
        <w:t xml:space="preserve">, </w:t>
      </w:r>
      <w:hyperlink w:anchor="s_AG023">
        <w:r>
          <w:rPr>
            <w:color w:val="245C88"/>
            <w:u w:val="single"/>
          </w:rPr>
          <w:t>AG023</w:t>
        </w:r>
      </w:hyperlink>
      <w:r>
        <w:t xml:space="preserve">  ·  AG004: Explotación minera y topónimos; AG022–AG023: consulta geominera y afectaciones.</w:t>
      </w:r>
      <w:r>
        <w:t xml:space="preserve">  ·  Período: Antecedentes del diagnóstico publicado en 2019; verificación predial pendiente</w:t>
      </w:r>
    </w:p>
    <w:p>
      <w:bookmarkStart w:id="61" w:name="r_AG_023"/>
      <w:pPr>
        <w:pStyle w:val="Heading2"/>
      </w:pPr>
      <w:r>
        <w:t>Cédula Minera verificar afectaciones del padrón antes de invertir</w:t>
      </w:r>
      <w:bookmarkEnd w:id="61"/>
    </w:p>
    <w:p>
      <w:pPr>
        <w:pStyle w:val="RecordMeta"/>
      </w:pPr>
      <w:r>
        <w:t>AG-023  ·  Hecho o requisito documentado  ·  Ámbito específico descrito en la ficha</w:t>
      </w:r>
    </w:p>
    <w:p>
      <w:r>
        <w:t>DINAMIGE informa que la Cédula Minera digital permite conocer si un padrón tiene pedimentos o títulos mineros. Se obtiene en el Visualizador Geológico Minero, tiene firma electrónica y el mismo valor legal que el documento elaborado manualmente por la Dirección. El trámite oficial actualizado en abril de 2026 la describe como gratuita e inmediata, y recomienda acudir a la solicitud manual cuando el visor no contiene información del padrón. Esta verificación es útil tanto para proyectos extractivos como para otras inversiones rurales e industriales de Lavalleja que puedan superponerse con afectaciones mineras. Debe consultarse el número actual de padrón y, si corresponde, sus antecedentes catastrales. Que un padrón aparezca libre de pedimentos no demuestra existencia de un yacimiento ni concede derecho a explotarlo; que tenga una afectación tampoco acredita que una mina esté operativa. Esta ficha no contiene una consulta certificada de un padrón específico.</w:t>
      </w:r>
    </w:p>
    <w:p>
      <w:pPr>
        <w:pStyle w:val="RecordConditions"/>
      </w:pPr>
      <w:r>
        <w:rPr>
          <w:b/>
        </w:rPr>
        <w:t xml:space="preserve">Condiciones  </w:t>
      </w:r>
      <w:r>
        <w:t>Cédula por padrón y a la fecha de consulta; no equivale a título minero o certificado de reservas. No se consultó ni certificó disponibilidad de ningún padrón en este módulo.</w:t>
      </w:r>
    </w:p>
    <w:p>
      <w:pPr>
        <w:pStyle w:val="SourceNote"/>
      </w:pPr>
      <w:r>
        <w:rPr>
          <w:b/>
        </w:rPr>
        <w:t xml:space="preserve">Fuentes  </w:t>
      </w:r>
      <w:hyperlink w:anchor="s_AG023">
        <w:r>
          <w:rPr>
            <w:color w:val="245C88"/>
            <w:u w:val="single"/>
          </w:rPr>
          <w:t>AG023</w:t>
        </w:r>
      </w:hyperlink>
      <w:r>
        <w:t xml:space="preserve">, </w:t>
      </w:r>
      <w:hyperlink w:anchor="s_AG022">
        <w:r>
          <w:rPr>
            <w:color w:val="245C88"/>
            <w:u w:val="single"/>
          </w:rPr>
          <w:t>AG022</w:t>
        </w:r>
      </w:hyperlink>
      <w:r>
        <w:t xml:space="preserve">  ·  AG023: definición, valor legal y alternativa manual; AG022: visualizador.</w:t>
      </w:r>
      <w:r>
        <w:t xml:space="preserve">  ·  Período: Situación documental al 19/10/2026</w:t>
      </w:r>
    </w:p>
    <w:p>
      <w:bookmarkStart w:id="62" w:name="r_AG_024"/>
      <w:pPr>
        <w:pStyle w:val="Heading2"/>
      </w:pPr>
      <w:r>
        <w:t>Canteras y explotación minera concesión operación y titularidad</w:t>
      </w:r>
      <w:bookmarkEnd w:id="62"/>
    </w:p>
    <w:p>
      <w:pPr>
        <w:pStyle w:val="RecordMeta"/>
      </w:pPr>
      <w:r>
        <w:t>AG-024  ·  Hecho con aplicación o inferencia  ·  Ámbito específico descrito en la ficha</w:t>
      </w:r>
    </w:p>
    <w:p>
      <w:r>
        <w:t>La concesión para explotar de DINAMIGE otorga el derecho exclusivo sobre determinadas sustancias minerales dentro de un área definida. El trámite actualizado en marzo de 2026 exige, entre otros elementos, inscripción y validación de la empresa minera, delimitación del área, técnico responsable, programa de operaciones y plan de inversiones y capacidad financiera. Para materiales Clase IV prevé documentación específica sobre propiedad y el derecho del superficiario. Por ello, comprar o arrendar un campo en Lavalleja no debe presentarse como habilitación automática de una cantera. Es necesario determinar la sustancia y clase mineral, el título que corresponda y las servidumbres, junto con el régimen ambiental y territorial aplicable. Como hipótesis, pueden estudiarse servicios de trituración, clasificación y control de calidad para explotaciones legalmente operativas, sin asumir que están contratando. Los plazos y condiciones efectivos se acreditan con el expediente y resolución individuales, no solamente con la página general del trámite.</w:t>
      </w:r>
    </w:p>
    <w:p>
      <w:pPr>
        <w:pStyle w:val="RecordConditions"/>
      </w:pPr>
      <w:r>
        <w:rPr>
          <w:b/>
        </w:rPr>
        <w:t xml:space="preserve">Condiciones  </w:t>
      </w:r>
      <w:r>
        <w:t>Identificar clase mineral, derechos del superficiario y área de concesión. La titularidad de la tierra no sustituye el título minero ni las autorizaciones ambientales o territoriales.</w:t>
      </w:r>
    </w:p>
    <w:p>
      <w:pPr>
        <w:pStyle w:val="SourceNote"/>
      </w:pPr>
      <w:r>
        <w:rPr>
          <w:b/>
        </w:rPr>
        <w:t xml:space="preserve">Fuentes  </w:t>
      </w:r>
      <w:hyperlink w:anchor="s_AG024">
        <w:r>
          <w:rPr>
            <w:color w:val="245C88"/>
            <w:u w:val="single"/>
          </w:rPr>
          <w:t>AG024</w:t>
        </w:r>
      </w:hyperlink>
      <w:r>
        <w:t xml:space="preserve">, </w:t>
      </w:r>
      <w:hyperlink w:anchor="s_AG023">
        <w:r>
          <w:rPr>
            <w:color w:val="245C88"/>
            <w:u w:val="single"/>
          </w:rPr>
          <w:t>AG023</w:t>
        </w:r>
      </w:hyperlink>
      <w:r>
        <w:t xml:space="preserve">  ·  AG024: definición y requisitos; AG023: afectaciones por padrón.</w:t>
      </w:r>
      <w:r>
        <w:t xml:space="preserve">  ·  Período: Situación documental al 19/10/2026</w:t>
      </w:r>
    </w:p>
    <w:p>
      <w:bookmarkStart w:id="63" w:name="r_AG_025"/>
      <w:pPr>
        <w:pStyle w:val="Heading2"/>
      </w:pPr>
      <w:r>
        <w:t>Cemento y calizas en Minas oportunidades de servicios y eficiencia</w:t>
      </w:r>
      <w:bookmarkEnd w:id="63"/>
    </w:p>
    <w:p>
      <w:pPr>
        <w:pStyle w:val="RecordMeta"/>
      </w:pPr>
      <w:r>
        <w:t>AG-025  ·  Hecho con aplicación o inferencia  ·  Z1</w:t>
      </w:r>
    </w:p>
    <w:p>
      <w:r>
        <w:t>ANCAP identifica plantas de producción de cemento en Minas y Paysandú y describe una cadena que comienza con materias primas minerales, especialmente caliza, y comprende preparación, clinkerización, molienda y despacho. La existencia de la planta de Minas constituye un anclaje industrial para investigar proveedores. Como hipótesis comercial pueden analizarse mantenimiento, instrumentación, control de calidad de materias primas, eficiencia térmica y eléctrica, reducción de polvo y servicios vinculados a materiales de construcción. La presencia industrial no prueba una licitación abierta, demanda sin atender o capacidad ociosa. Un proyecto de menor huella de carbono requiere establecer una línea de base de proceso, calidad y emisiones y validar la solución con el operador. La sustitución de materias primas o combustibles y el uso de residuos no quedan autorizados por una descripción general de coprocesamiento: deben verificarse las autorizaciones y especificaciones del receptor y del residuo concreto.</w:t>
      </w:r>
    </w:p>
    <w:p>
      <w:pPr>
        <w:pStyle w:val="RecordConditions"/>
      </w:pPr>
      <w:r>
        <w:rPr>
          <w:b/>
        </w:rPr>
        <w:t xml:space="preserve">Condiciones  </w:t>
      </w:r>
      <w:r>
        <w:t>Hipótesis de proveedores; no demanda, contrato o capacidad ociosa demostrados. Verificar autorización del proceso y de cada corriente de residuos antes de proponer coprocesamiento.</w:t>
      </w:r>
    </w:p>
    <w:p>
      <w:pPr>
        <w:pStyle w:val="SourceNote"/>
      </w:pPr>
      <w:r>
        <w:rPr>
          <w:b/>
        </w:rPr>
        <w:t xml:space="preserve">Fuentes  </w:t>
      </w:r>
      <w:hyperlink w:anchor="s_AG025">
        <w:r>
          <w:rPr>
            <w:color w:val="245C88"/>
            <w:u w:val="single"/>
          </w:rPr>
          <w:t>AG025</w:t>
        </w:r>
      </w:hyperlink>
      <w:r>
        <w:t xml:space="preserve">, </w:t>
      </w:r>
      <w:hyperlink w:anchor="s_AG030">
        <w:r>
          <w:rPr>
            <w:color w:val="245C88"/>
            <w:u w:val="single"/>
          </w:rPr>
          <w:t>AG030</w:t>
        </w:r>
      </w:hyperlink>
      <w:r>
        <w:t xml:space="preserve">  ·  AG025: plantas y etapas de producción; AG030: gestión industrial de residuos.</w:t>
      </w:r>
      <w:r>
        <w:t xml:space="preserve">  ·  Período: Situación documental al 19/10/2026</w:t>
      </w:r>
    </w:p>
    <w:p>
      <w:bookmarkStart w:id="64" w:name="r_AG_026"/>
      <w:pPr>
        <w:pStyle w:val="Heading2"/>
      </w:pPr>
      <w:r>
        <w:t>Agua mineral y bebidas cadena existente y evaluación de nuevas captaciones</w:t>
      </w:r>
      <w:bookmarkEnd w:id="64"/>
    </w:p>
    <w:p>
      <w:pPr>
        <w:pStyle w:val="RecordMeta"/>
      </w:pPr>
      <w:r>
        <w:t>AG-026  ·  Hecho con aplicación o inferencia  ·  Z1</w:t>
      </w:r>
    </w:p>
    <w:p>
      <w:r>
        <w:t>El Ministerio de Trabajo documentó en noviembre de 2025 una visita a Salus y a su planta de procesamiento de agua mineral en Lavalleja. Ese antecedente prueba una actividad industrial localizada, pero no demuestra capacidad disponible, posibilidad de acceso de terceros a su fuente o disponibilidad de otros acuíferos. Como hipótesis pueden investigarse servicios de envases, mantenimiento, calidad, tratamiento y logística de bebidas con clientes identificados. Una nueva planta de envasado exige estudiar una fuente concreta: derecho de uso, caudal sostenible, composición, protección sanitaria y variación estacional, además de definir el producto y sus habilitaciones. La calidad o reputación de una marca existente no se transfiere a otras perforaciones del departamento. Debe evaluarse también la generación de aguas de lavado y los requisitos de vertido del Decreto 226/025. Esta ficha no identifica una nueva captación autorizada ni estima reservas de agua para comercializar.</w:t>
      </w:r>
    </w:p>
    <w:p>
      <w:pPr>
        <w:pStyle w:val="RecordConditions"/>
      </w:pPr>
      <w:r>
        <w:rPr>
          <w:b/>
        </w:rPr>
        <w:t xml:space="preserve">Condiciones  </w:t>
      </w:r>
      <w:r>
        <w:t>Referencia industrial de 2025; no permiso de acceso a fuentes ni capacidad disponible demostrada. Hipótesis de inversión sujeta a estudio hidrogeológico, derecho de uso, habilitación sanitaria y régimen de vertidos.</w:t>
      </w:r>
    </w:p>
    <w:p>
      <w:pPr>
        <w:pStyle w:val="SourceNote"/>
      </w:pPr>
      <w:r>
        <w:rPr>
          <w:b/>
        </w:rPr>
        <w:t xml:space="preserve">Fuentes  </w:t>
      </w:r>
      <w:hyperlink w:anchor="s_AG026">
        <w:r>
          <w:rPr>
            <w:color w:val="245C88"/>
            <w:u w:val="single"/>
          </w:rPr>
          <w:t>AG026</w:t>
        </w:r>
      </w:hyperlink>
      <w:r>
        <w:t xml:space="preserve">, </w:t>
      </w:r>
      <w:hyperlink w:anchor="s_AG027">
        <w:r>
          <w:rPr>
            <w:color w:val="245C88"/>
            <w:u w:val="single"/>
          </w:rPr>
          <w:t>AG027</w:t>
        </w:r>
      </w:hyperlink>
      <w:r>
        <w:t xml:space="preserve">, </w:t>
      </w:r>
      <w:hyperlink w:anchor="s_AG038">
        <w:r>
          <w:rPr>
            <w:color w:val="245C88"/>
            <w:u w:val="single"/>
          </w:rPr>
          <w:t>AG038</w:t>
        </w:r>
      </w:hyperlink>
      <w:r>
        <w:t xml:space="preserve">  ·  AG026: visita a Salus; AG027: alcance alimentario; AG038: aguas residuales y vertidos.</w:t>
      </w:r>
      <w:r>
        <w:t xml:space="preserve">  ·  Período: Visita oficial 17/11/2025; hipótesis a validar al corte</w:t>
      </w:r>
    </w:p>
    <w:p>
      <w:bookmarkStart w:id="65" w:name="r_AG_027"/>
      <w:pPr>
        <w:pStyle w:val="Heading2"/>
      </w:pPr>
      <w:r>
        <w:t>Procesamiento de alimentos inscripción de empresa y habilitación del local</w:t>
      </w:r>
      <w:bookmarkEnd w:id="65"/>
    </w:p>
    <w:p>
      <w:pPr>
        <w:pStyle w:val="RecordMeta"/>
      </w:pPr>
      <w:r>
        <w:t>AG-027  ·  Hecho o requisito documentado  ·  Ámbito específico descrito en la ficha</w:t>
      </w:r>
    </w:p>
    <w:p>
      <w:r>
        <w:t>RUNAEV comprende empresas que elaboran, industrializan, fraccionan, almacenan, distribuyen o comercializan alimentos, entre otras actividades. Su trámite de inscripción, actualizado en junio de 2026, establece la inscripción de la empresa como paso previo a los registros de locales, vehículos y productos que correspondan. Para empresas con local, estar inscripto no equivale a estar habilitado para operar ese local. Esta distinción es relevante al evaluar salas compartidas, plantas de envasado, almacenes alimentarios o servicios de distribución en Lavalleja. El proyecto debe definir quién será el titular, qué actividades realizará y en qué instalaciones, para determinar sus trámites concretos. Las categorías sin local tienen un tratamiento propio que no debe aplicarse a una planta física. La inscripción tampoco sustituye controles sectoriales de MGAP, INAVI o del mercado de destino cuando correspondan. La hipótesis de una planta compartida exige comprobar demanda y compatibilidad de procesos antes de invertir.</w:t>
      </w:r>
    </w:p>
    <w:p>
      <w:pPr>
        <w:pStyle w:val="RecordConditions"/>
      </w:pPr>
      <w:r>
        <w:rPr>
          <w:b/>
        </w:rPr>
        <w:t xml:space="preserve">Condiciones  </w:t>
      </w:r>
      <w:r>
        <w:t>Inscripción de empresa y habilitación de local son pasos diferentes para empresas con local. Confirmar registros por actividad y producto, además de controles sectoriales.</w:t>
      </w:r>
    </w:p>
    <w:p>
      <w:pPr>
        <w:pStyle w:val="SourceNote"/>
      </w:pPr>
      <w:r>
        <w:rPr>
          <w:b/>
        </w:rPr>
        <w:t xml:space="preserve">Fuentes  </w:t>
      </w:r>
      <w:hyperlink w:anchor="s_AG027">
        <w:r>
          <w:rPr>
            <w:color w:val="245C88"/>
            <w:u w:val="single"/>
          </w:rPr>
          <w:t>AG027</w:t>
        </w:r>
      </w:hyperlink>
      <w:r>
        <w:t xml:space="preserve">  ·  AG027: descripción, categorías con local y paso previo a locales, vehículos y productos.</w:t>
      </w:r>
      <w:r>
        <w:t xml:space="preserve">  ·  Período: Situación documental al 19/10/2026</w:t>
      </w:r>
    </w:p>
    <w:p>
      <w:bookmarkStart w:id="66" w:name="r_AG_028"/>
      <w:pPr>
        <w:pStyle w:val="Heading2"/>
      </w:pPr>
      <w:r>
        <w:t>Alimentos transición de rótulos al número RUNAEV en diciembre de 2026</w:t>
      </w:r>
      <w:bookmarkEnd w:id="66"/>
    </w:p>
    <w:p>
      <w:pPr>
        <w:pStyle w:val="RecordMeta"/>
      </w:pPr>
      <w:r>
        <w:t>AG-028  ·  Hecho con aplicación o inferencia  ·  Ámbito específico descrito en la ficha</w:t>
      </w:r>
    </w:p>
    <w:p>
      <w:r>
        <w:t>Las preguntas frecuentes oficiales del Congreso de Intendentes consultadas al 19 de octubre de 2026 indican que la numeración de los antiguos registros departamentales de productos puede mantenerse hasta diciembre de 2026 y que, desde el 31 de diciembre de 2026, los rótulos deben utilizar exclusivamente el número de registro RUNAEV. Para productores de alimentos y bebidas de Lavalleja, esto vuelve necesario revisar registros, etiquetas, inventarios de envases y calendario de impresión antes de planificar una nueva línea o compra de packaging. El cambio de número no autoriza a modificar formulaciones, declaraciones de propiedades o denominaciones sin las verificaciones aplicables. Como hipótesis de servicio pueden estudiarse apoyo documental y adaptación de etiquetas con empresas concretas. La fecha debe revalidarse antes de imprimir o comercializar lotes, por tratarse de una transición administrativa cercana al corte de esta ficha; no se presume prórroga ni se garantiza aceptación de un rótulo particular.</w:t>
      </w:r>
    </w:p>
    <w:p>
      <w:pPr>
        <w:pStyle w:val="RecordConditions"/>
      </w:pPr>
      <w:r>
        <w:rPr>
          <w:b/>
        </w:rPr>
        <w:t xml:space="preserve">Condiciones  </w:t>
      </w:r>
      <w:r>
        <w:t>Fecha y régimen de transición a revalidar ante RUNAEV antes de imprimir lotes. El cambio de numeración no reemplaza aprobación de producto o cumplimiento integral del rotulado.</w:t>
      </w:r>
    </w:p>
    <w:p>
      <w:pPr>
        <w:pStyle w:val="SourceNote"/>
      </w:pPr>
      <w:r>
        <w:rPr>
          <w:b/>
        </w:rPr>
        <w:t xml:space="preserve">Fuentes  </w:t>
      </w:r>
      <w:hyperlink w:anchor="s_AG028">
        <w:r>
          <w:rPr>
            <w:color w:val="245C88"/>
            <w:u w:val="single"/>
          </w:rPr>
          <w:t>AG028</w:t>
        </w:r>
      </w:hyperlink>
      <w:r>
        <w:t xml:space="preserve">  ·  AG028: respuesta sobre números de registro y rotulado desde 31/12/2026.</w:t>
      </w:r>
      <w:r>
        <w:t xml:space="preserve">  ·  Período: Situación documental al 19/10/2026</w:t>
      </w:r>
    </w:p>
    <w:p>
      <w:bookmarkStart w:id="67" w:name="r_AG_029"/>
      <w:pPr>
        <w:pStyle w:val="Heading2"/>
      </w:pPr>
      <w:r>
        <w:t>Raciones y alimentos para animales controles específicos de planta</w:t>
      </w:r>
      <w:bookmarkEnd w:id="67"/>
    </w:p>
    <w:p>
      <w:pPr>
        <w:pStyle w:val="RecordMeta"/>
      </w:pPr>
      <w:r>
        <w:t>AG-029  ·  Hecho con aplicación o inferencia  ·  Z5, Z6</w:t>
      </w:r>
    </w:p>
    <w:p>
      <w:r>
        <w:t>La DGSA del MGAP dispone de una vía de habilitación para plantas elaboradoras de alimentos para animales monogástricos, actualizada en julio de 2026. El trámite remite al Registro Único de Operadores, auditorías y requisitos de buenas prácticas de la Resolución 1155/025, y contempla las situaciones en que la habilitación es exigida por la autoridad o por el destino de exportación. No debe extrapolarse esa ficha a cualquier alimento, especie o proceso: rumiantes y determinadas harinas tienen vías propias que deben consultarse. Como hipótesis para el entorno de José Pedro Varela o para atender productores ganaderos de Lavalleja, pueden estudiarse formulación, mezcla, trazabilidad y acondicionamiento de materias primas bajo contratos. Es necesario demostrar abastecimiento, inocuidad y especificaciones nutricionales; un subproducto agrícola o industrial no es automáticamente apto para alimentación animal. La localización de la planta queda sujeta a su proceso, emisiones y compatibilidad territorial.</w:t>
      </w:r>
    </w:p>
    <w:p>
      <w:pPr>
        <w:pStyle w:val="RecordConditions"/>
      </w:pPr>
      <w:r>
        <w:rPr>
          <w:b/>
        </w:rPr>
        <w:t xml:space="preserve">Condiciones  </w:t>
      </w:r>
      <w:r>
        <w:t>Hipótesis comercial y de localización; confirmar vía DGSA según especie, producto y mercado. No afirmar que todo subproducto sirve como alimento ni trasladar requisitos de monogástricos a rumiantes.</w:t>
      </w:r>
    </w:p>
    <w:p>
      <w:pPr>
        <w:pStyle w:val="SourceNote"/>
      </w:pPr>
      <w:r>
        <w:rPr>
          <w:b/>
        </w:rPr>
        <w:t xml:space="preserve">Fuentes  </w:t>
      </w:r>
      <w:hyperlink w:anchor="s_AG029">
        <w:r>
          <w:rPr>
            <w:color w:val="245C88"/>
            <w:u w:val="single"/>
          </w:rPr>
          <w:t>AG029</w:t>
        </w:r>
      </w:hyperlink>
      <w:r>
        <w:t xml:space="preserve">  ·  AG029: alcance, RUO, auditoría y referencia a Resolución 1155/025.</w:t>
      </w:r>
      <w:r>
        <w:t xml:space="preserve">  ·  Período: Situación documental al 19/10/2026</w:t>
      </w:r>
    </w:p>
    <w:p>
      <w:bookmarkStart w:id="68" w:name="r_AG_030"/>
      <w:pPr>
        <w:pStyle w:val="Heading2"/>
      </w:pPr>
      <w:r>
        <w:t>Residuos industriales y agroindustriales valorización con gestor autorizado</w:t>
      </w:r>
      <w:bookmarkEnd w:id="68"/>
    </w:p>
    <w:p>
      <w:pPr>
        <w:pStyle w:val="RecordMeta"/>
      </w:pPr>
      <w:r>
        <w:t>AG-030  ·  Hecho con aplicación o inferencia  ·  Ámbito específico descrito en la ficha</w:t>
      </w:r>
    </w:p>
    <w:p>
      <w:r>
        <w:t>El Decreto 182/013 establece el régimen de residuos sólidos industriales y asimilados, que comprende su generación y las etapas de manejo, tratamiento, valorización y disposición. El Ministerio de Ambiente mantiene además un trámite de habilitación de transportistas de estas corrientes, actualizado en agosto de 2026. Para inversiones en Lavalleja, una propuesta de compostaje, reutilización de subproductos, combustible alternativo o recuperación de materiales debe empezar por identificar generador, composición, peligrosidad, cantidad y destino. Como hipótesis comercial pueden analizarse cadenas entre productores, industrias y gestores, pero la cercanía física no demuestra compatibilidad del residuo ni derecho a recibirlo. Se requiere verificar los permisos del transportista y del receptor para la corriente y operación concretas, y documentar su trazabilidad. Tampoco debe presentarse un residuo como producto comercial por el solo hecho de tener un comprador. Esta ficha no acredita gestores disponibles ni autorizaciones para un predio determinado.</w:t>
      </w:r>
    </w:p>
    <w:p>
      <w:pPr>
        <w:pStyle w:val="RecordConditions"/>
      </w:pPr>
      <w:r>
        <w:rPr>
          <w:b/>
        </w:rPr>
        <w:t xml:space="preserve">Condiciones  </w:t>
      </w:r>
      <w:r>
        <w:t>Hipótesis de valorización; caracterizar material y verificar permisos de todos los actores. No se certifican corrientes admitidas, gestores disponibles o cambio de condición jurídica de residuo a producto.</w:t>
      </w:r>
    </w:p>
    <w:p>
      <w:pPr>
        <w:pStyle w:val="SourceNote"/>
      </w:pPr>
      <w:r>
        <w:rPr>
          <w:b/>
        </w:rPr>
        <w:t xml:space="preserve">Fuentes  </w:t>
      </w:r>
      <w:hyperlink w:anchor="s_AG030">
        <w:r>
          <w:rPr>
            <w:color w:val="245C88"/>
            <w:u w:val="single"/>
          </w:rPr>
          <w:t>AG030</w:t>
        </w:r>
      </w:hyperlink>
      <w:r>
        <w:t xml:space="preserve">, </w:t>
      </w:r>
      <w:hyperlink w:anchor="s_AG031">
        <w:r>
          <w:rPr>
            <w:color w:val="245C88"/>
            <w:u w:val="single"/>
          </w:rPr>
          <w:t>AG031</w:t>
        </w:r>
      </w:hyperlink>
      <w:r>
        <w:t xml:space="preserve">  ·  AG030: ámbito y cadena de gestión; AG031: habilitación de transporte.</w:t>
      </w:r>
      <w:r>
        <w:t xml:space="preserve">  ·  Período: Situación documental al 19/10/2026</w:t>
      </w:r>
    </w:p>
    <w:p>
      <w:bookmarkStart w:id="69" w:name="r_AG_031"/>
      <w:pPr>
        <w:pStyle w:val="Heading2"/>
      </w:pPr>
      <w:r>
        <w:t>Áridos reciclados y residuos de construcción régimen del Decreto 213 de 2025</w:t>
      </w:r>
      <w:bookmarkEnd w:id="69"/>
    </w:p>
    <w:p>
      <w:pPr>
        <w:pStyle w:val="RecordMeta"/>
      </w:pPr>
      <w:r>
        <w:t>AG-031  ·  Hecho con aplicación o inferencia  ·  Z1</w:t>
      </w:r>
    </w:p>
    <w:p>
      <w:r>
        <w:t>El Decreto 213/025, publicado en octubre de 2025, regula residuos de obras de construcción, reforma y demolición públicas y privadas, promoviendo reducción y valorización. Excluye ciertas reparaciones domésticas menores en viviendas unifamiliares o locales comerciales de menos de 250 m² cuando no comprenden demolición total; esa excepción no debe generalizarse a cualquier obra pequeña. Como hipótesis para Minas y otros núcleos de Lavalleja puede estudiarse separación en origen, logística, clasificación y producción de áridos reciclados. La viabilidad requiere comprobar obras generadoras, composición, ausencia de contaminantes incompatibles, especificaciones técnicas del comprador y autorizaciones de instalaciones y transporte. El volumen debe medirse mediante acuerdos con generadores, no deducirse de la presencia de actividad constructiva. Un material triturado no es automáticamente apto para hormigón estructural o relleno. También deben verificarse con Ambiente e Intendencia los planes y obligaciones aplicables al tipo de obra y a cada actor.</w:t>
      </w:r>
    </w:p>
    <w:p>
      <w:pPr>
        <w:pStyle w:val="RecordConditions"/>
      </w:pPr>
      <w:r>
        <w:rPr>
          <w:b/>
        </w:rPr>
        <w:t xml:space="preserve">Condiciones  </w:t>
      </w:r>
      <w:r>
        <w:t>Hipótesis de inversión; no volumen de residuos ni demanda de áridos reciclados cuantificados. Verificar alcance legal de la obra y calidad/uso del material antes de valorizar.</w:t>
      </w:r>
    </w:p>
    <w:p>
      <w:pPr>
        <w:pStyle w:val="SourceNote"/>
      </w:pPr>
      <w:r>
        <w:rPr>
          <w:b/>
        </w:rPr>
        <w:t xml:space="preserve">Fuentes  </w:t>
      </w:r>
      <w:hyperlink w:anchor="s_AG032">
        <w:r>
          <w:rPr>
            <w:color w:val="245C88"/>
            <w:u w:val="single"/>
          </w:rPr>
          <w:t>AG032</w:t>
        </w:r>
      </w:hyperlink>
      <w:r>
        <w:t xml:space="preserve">  ·  AG032: arts. 1–3, ámbito y excepción de reparaciones menores; régimen de actores y planes.</w:t>
      </w:r>
      <w:r>
        <w:t xml:space="preserve">  ·  Período: Situación documental al 19/10/2026</w:t>
      </w:r>
    </w:p>
    <w:p>
      <w:bookmarkStart w:id="70" w:name="r_AG_032"/>
      <w:pPr>
        <w:pStyle w:val="Heading2"/>
      </w:pPr>
      <w:r>
        <w:t>Reciclaje de envases Plan Vale y primeros ecopuntos en Minas</w:t>
      </w:r>
      <w:bookmarkEnd w:id="70"/>
    </w:p>
    <w:p>
      <w:pPr>
        <w:pStyle w:val="RecordMeta"/>
      </w:pPr>
      <w:r>
        <w:t>AG-032  ·  Hecho con aplicación o inferencia  ·  Z1</w:t>
      </w:r>
    </w:p>
    <w:p>
      <w:r>
        <w:t>El Ministerio de Ambiente informó el 23 de septiembre de 2026 la instalación de los primeros 15 ecopuntos de un total de 60 previstos en Minas, dentro del Plan Vale. El dato constituye una incorporación reciente respecto del corte de septiembre de la base original. Debe distinguirse infraestructura instalada de infraestructura prevista: la noticia no demuestra que los 60 puntos ya estén operativos. Como hipótesis pueden investigarse servicios de mantenimiento, medición, educación de usuarios, logística y clasificación de materiales con los responsables del sistema. La existencia del plan no prueba una contratación abierta ni que cualquier empresa pueda retirar o comercializar los materiales depositados. Para presentar una inversión se deben confirmar responsables, acuerdos, rutas, volúmenes efectivamente recuperados y destino autorizado. Esta ficha no proyecta ingresos por reciclables ni describe como disponible una corriente que ya pueda estar comprometida con gestores u organizaciones del programa.</w:t>
      </w:r>
    </w:p>
    <w:p>
      <w:pPr>
        <w:pStyle w:val="RecordConditions"/>
      </w:pPr>
      <w:r>
        <w:rPr>
          <w:b/>
        </w:rPr>
        <w:t xml:space="preserve">Condiciones  </w:t>
      </w:r>
      <w:r>
        <w:t>Al 23/09/2026: 15 instalados y 60 previstos; no confundir etapas. Hipótesis de servicios; no contratación o disponibilidad de materiales acreditadas.</w:t>
      </w:r>
    </w:p>
    <w:p>
      <w:pPr>
        <w:pStyle w:val="SourceNote"/>
      </w:pPr>
      <w:r>
        <w:rPr>
          <w:b/>
        </w:rPr>
        <w:t xml:space="preserve">Fuentes  </w:t>
      </w:r>
      <w:hyperlink w:anchor="s_AG033">
        <w:r>
          <w:rPr>
            <w:color w:val="245C88"/>
            <w:u w:val="single"/>
          </w:rPr>
          <w:t>AG033</w:t>
        </w:r>
      </w:hyperlink>
      <w:r>
        <w:t xml:space="preserve">  ·  AG033: cantidad inicial y total previsto de ecopuntos en Minas.</w:t>
      </w:r>
      <w:r>
        <w:t xml:space="preserve">  ·  Período: Noticia oficial 23/09/2026, posterior al corte original 18/09/2026</w:t>
      </w:r>
    </w:p>
    <w:p>
      <w:bookmarkStart w:id="71" w:name="r_AG_033"/>
      <w:pPr>
        <w:pStyle w:val="Heading2"/>
      </w:pPr>
      <w:r>
        <w:t>Biochar y biomateriales evaluar residuos tecnología y mercado</w:t>
      </w:r>
      <w:bookmarkEnd w:id="71"/>
    </w:p>
    <w:p>
      <w:pPr>
        <w:pStyle w:val="RecordMeta"/>
      </w:pPr>
      <w:r>
        <w:t>AG-033  ·  Hipótesis de inversión  ·  Ámbito específico descrito en la ficha</w:t>
      </w:r>
    </w:p>
    <w:p>
      <w:r>
        <w:t>MIEM destacó en el Premio Uruguay Circular 2025 una investigación sobre biochar obtenido de aserrín y residuos forestales. Es un antecedente nacional de investigación, no evidencia de una planta comercial en Lavalleja. A partir de ese marco se pueden formular hipótesis de valorización de residuos de madera, cáscara de arroz o subproductos agroindustriales que se identifiquen localmente. Cada corriente requiere caracterización, pruebas tecnológicas, balance de masa y energía, emisiones, transporte y un comprador con especificaciones. La eventual instalación debe definir si recibe residuos y qué permisos necesita; la idea de economía circular no concede autorización ambiental. Tampoco se debe garantizar que cualquier biochar mejore cualquier suelo o genere créditos de carbono: esas aplicaciones necesitan ensayos, calidad del producto y metodologías verificables. El proyecto debe demostrar suministro y destino antes de estimar escala. No se cuantificaron materias primas disponibles para Lavalleja en esta ficha.</w:t>
      </w:r>
    </w:p>
    <w:p>
      <w:pPr>
        <w:pStyle w:val="RecordConditions"/>
      </w:pPr>
      <w:r>
        <w:rPr>
          <w:b/>
        </w:rPr>
        <w:t xml:space="preserve">Condiciones  </w:t>
      </w:r>
      <w:r>
        <w:t>Hipótesis derivada de un antecedente nacional de investigación, sin planta ni rendimiento local demostrados. No prometer créditos de carbono, uso agronómico o tratamiento de agua sin validación específica.</w:t>
      </w:r>
    </w:p>
    <w:p>
      <w:pPr>
        <w:pStyle w:val="SourceNote"/>
      </w:pPr>
      <w:r>
        <w:rPr>
          <w:b/>
        </w:rPr>
        <w:t xml:space="preserve">Fuentes  </w:t>
      </w:r>
      <w:hyperlink w:anchor="s_AG034">
        <w:r>
          <w:rPr>
            <w:color w:val="245C88"/>
            <w:u w:val="single"/>
          </w:rPr>
          <w:t>AG034</w:t>
        </w:r>
      </w:hyperlink>
      <w:r>
        <w:t xml:space="preserve">, </w:t>
      </w:r>
      <w:hyperlink w:anchor="s_AG030">
        <w:r>
          <w:rPr>
            <w:color w:val="245C88"/>
            <w:u w:val="single"/>
          </w:rPr>
          <w:t>AG030</w:t>
        </w:r>
      </w:hyperlink>
      <w:r>
        <w:t xml:space="preserve">  ·  AG034: iniciativa de investigación en biochar; AG030: régimen de residuos industriales.</w:t>
      </w:r>
      <w:r>
        <w:t xml:space="preserve">  ·  Período: Situación documental al 19/10/2026</w:t>
      </w:r>
    </w:p>
    <w:p>
      <w:bookmarkStart w:id="72" w:name="r_AG_034"/>
      <w:pPr>
        <w:pStyle w:val="Heading2"/>
      </w:pPr>
      <w:r>
        <w:t>Ovinos y lana servicios de calidad y transformación bajo contrato</w:t>
      </w:r>
      <w:bookmarkEnd w:id="72"/>
    </w:p>
    <w:p>
      <w:pPr>
        <w:pStyle w:val="RecordMeta"/>
      </w:pPr>
      <w:r>
        <w:t>AG-034  ·  Hipótesis de inversión  ·  Z6</w:t>
      </w:r>
    </w:p>
    <w:p>
      <w:r>
        <w:t>El Censo Agropecuario 2024 identifica explotaciones de Lavalleja cuya principal fuente de ingreso es la producción ovina; esta clasificación no mide por sí sola las existencias o el volumen anual de lana del departamento. Como hipótesis comercial, especialmente para atender clientes rurales desde Batlle y Ordóñez–Zapicán y otros centros de servicio, pueden estudiarse sanidad, reproducción, esquila, acondicionamiento y clasificación de lana. La ubicación propuesta es una hipótesis logística, no prueba de concentración cuantificada de majadas. Para transformación en fieltros, textiles o aislantes se requieren contratos por tipo de fibra, calidad, limpieza y volumen, pruebas del producto y compradores. La disponibilidad de lana sucia no garantiza aptitud para cualquier uso industrial ni acceso a una instalación de lavado habilitada. Si hay procesamiento húmedo, deben analizarse agua y vertidos. Esta ficha no identifica un lavadero operativo, capacidad libre, compra garantizada ni rentabilidad local para una nueva planta.</w:t>
      </w:r>
    </w:p>
    <w:p>
      <w:pPr>
        <w:pStyle w:val="RecordConditions"/>
      </w:pPr>
      <w:r>
        <w:rPr>
          <w:b/>
        </w:rPr>
        <w:t xml:space="preserve">Condiciones  </w:t>
      </w:r>
      <w:r>
        <w:t>Hipótesis comercial y de localización; sin volumen local de lana disponible ni contratos verificados. Las explotaciones censales según ingreso principal no equivalen a censo exhaustivo de ovinos o lana.</w:t>
      </w:r>
    </w:p>
    <w:p>
      <w:pPr>
        <w:pStyle w:val="SourceNote"/>
      </w:pPr>
      <w:r>
        <w:rPr>
          <w:b/>
        </w:rPr>
        <w:t xml:space="preserve">Fuentes  </w:t>
      </w:r>
      <w:hyperlink w:anchor="s_AG001">
        <w:r>
          <w:rPr>
            <w:color w:val="245C88"/>
            <w:u w:val="single"/>
          </w:rPr>
          <w:t>AG001</w:t>
        </w:r>
      </w:hyperlink>
      <w:r>
        <w:t xml:space="preserve">, </w:t>
      </w:r>
      <w:hyperlink w:anchor="s_AG038">
        <w:r>
          <w:rPr>
            <w:color w:val="245C88"/>
            <w:u w:val="single"/>
          </w:rPr>
          <w:t>AG038</w:t>
        </w:r>
      </w:hyperlink>
      <w:r>
        <w:t xml:space="preserve">  ·  AG001: Cuadro 88, ovinos; AG038: obligaciones de aguas residuales y vertidos.</w:t>
      </w:r>
      <w:r>
        <w:t xml:space="preserve">  ·  Período: Situación documental al 19/10/2026</w:t>
      </w:r>
    </w:p>
    <w:p>
      <w:bookmarkStart w:id="73" w:name="r_AG_035"/>
      <w:pPr>
        <w:pStyle w:val="Heading2"/>
      </w:pPr>
      <w:r>
        <w:t>Avicultura y otras producciones intensivas diversificación condicionada</w:t>
      </w:r>
      <w:bookmarkEnd w:id="73"/>
    </w:p>
    <w:p>
      <w:pPr>
        <w:pStyle w:val="RecordMeta"/>
      </w:pPr>
      <w:r>
        <w:t>AG-035  ·  Hipótesis de inversión  ·  Ámbito específico descrito en la ficha</w:t>
      </w:r>
    </w:p>
    <w:p>
      <w:r>
        <w:t>MGAP dispone de un trámite específico de habilitación de establecimientos avícolas, actualizado el 16 de octubre de 2026, que establece registro y habilitación sanitaria de la producción avícola comercial y refrendación anual. La vía sanitaria nacional permite estudiar el sector, pero no declara una zona avícola autorizada dentro de Lavalleja. Una inversión en huevos, cría o producción de aves debe definir primero el sistema productivo y obtener confirmación de los registros, bioseguridad y controles aplicables. Como hipótesis comercial pueden evaluarse abastecimiento de alimentos, mantenimiento de equipos, manejo de estiércol y logística para establecimientos y compradores identificados. Antes de construir debe comprobarse compatibilidad territorial, agua, energía, distancias sanitarias y manejo de residuos y efluentes según el proyecto concreto. No se atribuye al departamento una ventaja de costos ni se afirma existencia de integración comercial, faena disponible o exportación habilitada. La selección de un padrón requiere las verificaciones sectoriales y ambientales; el carácter rural del suelo no concede una habilitación automática para producción intensiva.</w:t>
      </w:r>
    </w:p>
    <w:p>
      <w:pPr>
        <w:pStyle w:val="RecordConditions"/>
      </w:pPr>
      <w:r>
        <w:rPr>
          <w:b/>
        </w:rPr>
        <w:t xml:space="preserve">Condiciones  </w:t>
      </w:r>
      <w:r>
        <w:t>Hipótesis de diversificación; no se identificó un clúster avícola ni integración comercial disponible. Confirmar habilitación DGSG y condiciones específicas antes de localizar o construir. El trámite DGSG exige refrendación sanitaria anual.</w:t>
      </w:r>
    </w:p>
    <w:p>
      <w:pPr>
        <w:pStyle w:val="SourceNote"/>
      </w:pPr>
      <w:r>
        <w:rPr>
          <w:b/>
        </w:rPr>
        <w:t xml:space="preserve">Fuentes  </w:t>
      </w:r>
      <w:hyperlink w:anchor="s_AG042">
        <w:r>
          <w:rPr>
            <w:color w:val="245C88"/>
            <w:u w:val="single"/>
          </w:rPr>
          <w:t>AG042</w:t>
        </w:r>
      </w:hyperlink>
      <w:r>
        <w:t xml:space="preserve">, </w:t>
      </w:r>
      <w:hyperlink w:anchor="s_AG029">
        <w:r>
          <w:rPr>
            <w:color w:val="245C88"/>
            <w:u w:val="single"/>
          </w:rPr>
          <w:t>AG029</w:t>
        </w:r>
      </w:hyperlink>
      <w:r>
        <w:t xml:space="preserve">, </w:t>
      </w:r>
      <w:hyperlink w:anchor="s_AG030">
        <w:r>
          <w:rPr>
            <w:color w:val="245C88"/>
            <w:u w:val="single"/>
          </w:rPr>
          <w:t>AG030</w:t>
        </w:r>
      </w:hyperlink>
      <w:r>
        <w:t xml:space="preserve">  ·  AG042: habilitación avícola; AG029: alimentos para animales; AG030: residuos.</w:t>
      </w:r>
      <w:r>
        <w:t xml:space="preserve">  ·  Período: Situación documental al 19/10/2026</w:t>
      </w:r>
    </w:p>
    <w:p>
      <w:bookmarkStart w:id="74" w:name="turismo"/>
      <w:pPr>
        <w:pStyle w:val="Heading1"/>
      </w:pPr>
      <w:r>
        <w:t>5 Turismo servicios y capacidades</w:t>
      </w:r>
      <w:bookmarkEnd w:id="74"/>
    </w:p>
    <w:p>
      <w:pPr>
        <w:pStyle w:val="RecordMeta"/>
      </w:pPr>
      <w:r>
        <w:t>34 fichas autónomas con condiciones y fuentes. La fecha de corte del complemento es el 19 de octubre de 2026; cada antecedente conserva su período propio.</w:t>
      </w:r>
    </w:p>
    <w:p>
      <w:bookmarkStart w:id="75" w:name="r_TS_001"/>
      <w:pPr>
        <w:pStyle w:val="Heading2"/>
      </w:pPr>
      <w:r>
        <w:t>Villa Serrana y Marco de los Reyes identificar la subzona antes de proyectar alojamiento</w:t>
      </w:r>
      <w:bookmarkEnd w:id="75"/>
    </w:p>
    <w:p>
      <w:pPr>
        <w:pStyle w:val="RecordMeta"/>
      </w:pPr>
      <w:r>
        <w:t>TS-001  ·  Hecho o requisito documentado  ·  Z3</w:t>
      </w:r>
    </w:p>
    <w:p>
      <w:r>
        <w:t>En Villa Serrana y su entorno, el Decreto Departamental 3701/2021 diferencia categorías rurales y seis zonas suburbanas; no concede un único régimen turístico a toda la sierra. Los artículos 17–20 distinguen, entre otras, SU1 Vilamajó, SU2 protección general, SU3 protección residencial, SU4 áreas vulnerables de cotas altas, SU5 corredores biológicos y drenaje, y SU6 Parque Central Vilamajó. Cada una combina usos, protección y parámetros propios. Para estudiar un hotel, cabañas o un camping se debe localizar el padrón en las láminas oficiales MO03 y MO04 y aplicar el articulado correspondiente. La etiqueta comercial Z3 reúne Villa Serrana, Marco de los Reyes y Penitente para búsqueda de oportunidades; no extiende automáticamente este plan a cualquier inmueble del Penitente. La identificación de zona comercial tampoco reemplaza la categoría legal del suelo. [TS001]</w:t>
      </w:r>
    </w:p>
    <w:p>
      <w:pPr>
        <w:pStyle w:val="RecordConditions"/>
      </w:pPr>
      <w:r>
        <w:rPr>
          <w:b/>
        </w:rPr>
        <w:t xml:space="preserve">Condiciones  </w:t>
      </w:r>
      <w:r>
        <w:t>Solicitar categoría y subzona del padrón a IDL. Z3 es referencia comercial, no delimitación normativa.</w:t>
      </w:r>
    </w:p>
    <w:p>
      <w:pPr>
        <w:pStyle w:val="SourceNote"/>
      </w:pPr>
      <w:r>
        <w:rPr>
          <w:b/>
        </w:rPr>
        <w:t xml:space="preserve">Fuentes  </w:t>
      </w:r>
      <w:hyperlink w:anchor="s_TS001">
        <w:r>
          <w:rPr>
            <w:color w:val="245C88"/>
            <w:u w:val="single"/>
          </w:rPr>
          <w:t>TS001</w:t>
        </w:r>
      </w:hyperlink>
      <w:r>
        <w:t xml:space="preserve">  ·  Decreto 3701/2021, arts. 17–20 y cartografía MO03/MO04</w:t>
      </w:r>
      <w:r>
        <w:t xml:space="preserve">  ·  Período: Normativa consultada al 2026-10-19</w:t>
      </w:r>
    </w:p>
    <w:p>
      <w:bookmarkStart w:id="76" w:name="r_TS_002"/>
      <w:pPr>
        <w:pStyle w:val="Heading2"/>
      </w:pPr>
      <w:r>
        <w:t>Villa Serrana retiros de cursos de agua y reservas para el diseño turístico</w:t>
      </w:r>
      <w:bookmarkEnd w:id="76"/>
    </w:p>
    <w:p>
      <w:pPr>
        <w:pStyle w:val="RecordMeta"/>
      </w:pPr>
      <w:r>
        <w:t>TS-002  ·  Hecho o requisito documentado  ·  Z3</w:t>
      </w:r>
    </w:p>
    <w:p>
      <w:r>
        <w:t>El artículo 43 del Plan Local de Villa Serrana establece franjas no edificables que condicionan la localización de cabañas, piscinas, servicios y otras construcciones. Desde el eje del curso de agua, exige al menos 40 metros a cada lado de los arroyos y cañadas principales Miraflores, De las Cañas, La Leona y La Paloma; 10 metros en cursos secundarios y 4 metros en intermitentes. Estos retiros rigen salvo indicación diferente en alguna zona. Para embalses fija 30 metros desde la línea máxima de creciente conocida. El artículo contempla tolerancias justificadas de hasta 20% y ajustes mediante instrumentos de detalle: no son descuentos automáticos del retiro. El mismo artículo prohíbe el uso para riego de aguas superficiales, subterráneas y de precipitación directa en las áreas suburbanas del plan. La evaluación necesita topografía, identificación del drenaje y régimen de agua aplicable al padrón. [TS001]</w:t>
      </w:r>
    </w:p>
    <w:p>
      <w:pPr>
        <w:pStyle w:val="RecordConditions"/>
      </w:pPr>
      <w:r>
        <w:rPr>
          <w:b/>
        </w:rPr>
        <w:t xml:space="preserve">Condiciones  </w:t>
      </w:r>
      <w:r>
        <w:t>Medir desde el eje del curso y desde la creciente del embalse según cada supuesto. No inferir que el retiro por sí solo determina la inundabilidad del lote.</w:t>
      </w:r>
    </w:p>
    <w:p>
      <w:pPr>
        <w:pStyle w:val="SourceNote"/>
      </w:pPr>
      <w:r>
        <w:rPr>
          <w:b/>
        </w:rPr>
        <w:t xml:space="preserve">Fuentes  </w:t>
      </w:r>
      <w:hyperlink w:anchor="s_TS001">
        <w:r>
          <w:rPr>
            <w:color w:val="245C88"/>
            <w:u w:val="single"/>
          </w:rPr>
          <w:t>TS001</w:t>
        </w:r>
      </w:hyperlink>
      <w:r>
        <w:t xml:space="preserve">  ·  Decreto 3701/2021, art. 43, literales d y f</w:t>
      </w:r>
      <w:r>
        <w:t xml:space="preserve">  ·  Período: Normativa consultada al 2026-10-19</w:t>
      </w:r>
    </w:p>
    <w:p>
      <w:bookmarkStart w:id="77" w:name="r_TS_003"/>
      <w:pPr>
        <w:pStyle w:val="Heading2"/>
      </w:pPr>
      <w:r>
        <w:t>Villa Serrana saneamiento de alojamientos mediante depósito impermeable</w:t>
      </w:r>
      <w:bookmarkEnd w:id="77"/>
    </w:p>
    <w:p>
      <w:pPr>
        <w:pStyle w:val="RecordMeta"/>
      </w:pPr>
      <w:r>
        <w:t>TS-003  ·  Hecho o requisito documentado  ·  Z3</w:t>
      </w:r>
    </w:p>
    <w:p>
      <w:r>
        <w:t>Los artículos 45–46 del Plan Local de Villa Serrana regulan la disposición de líquidos residuales. Entre las soluciones previstas figura el depósito fijo impermeable con retiro periódico por servicio barométrico; también puede autorizarse tratamiento primario y disposición conforme al régimen aplicable. Para el depósito, el plan exige ubicación abierta dentro de la parcela y acceso para el vehículo barométrico, al menos 2 metros respecto de predios vecinos y 10 metros respecto de cuerpos de agua y captaciones subterráneas. La capacidad mínima del depósito es 5.000 litros; para agrupamientos habitacionales se consideran 3.000 litros por unidad. Estos mínimos no sustituyen el cálculo de dimensionamiento del establecimiento. Un alojamiento necesita estimar caudal, ocupación máxima, frecuencia de retiro y costo operativo. El objetivo del plan de disponer de infraestructura pública para lodos no prueba que exista una planta receptora disponible. [TS001]</w:t>
      </w:r>
    </w:p>
    <w:p>
      <w:pPr>
        <w:pStyle w:val="RecordConditions"/>
      </w:pPr>
      <w:r>
        <w:rPr>
          <w:b/>
        </w:rPr>
        <w:t xml:space="preserve">Condiciones  </w:t>
      </w:r>
      <w:r>
        <w:t>Confirmar dimensionamiento del establecimiento y prestador autorizado para el destino final. No asumir una red de saneamiento o una planta pública disponible por su previsión en el plan.</w:t>
      </w:r>
    </w:p>
    <w:p>
      <w:pPr>
        <w:pStyle w:val="SourceNote"/>
      </w:pPr>
      <w:r>
        <w:rPr>
          <w:b/>
        </w:rPr>
        <w:t xml:space="preserve">Fuentes  </w:t>
      </w:r>
      <w:hyperlink w:anchor="s_TS001">
        <w:r>
          <w:rPr>
            <w:color w:val="245C88"/>
            <w:u w:val="single"/>
          </w:rPr>
          <w:t>TS001</w:t>
        </w:r>
      </w:hyperlink>
      <w:r>
        <w:t xml:space="preserve">  ·  Decreto 3701/2021, arts. 45–46</w:t>
      </w:r>
      <w:r>
        <w:t xml:space="preserve">  ·  Período: Normativa consultada al 2026-10-19</w:t>
      </w:r>
    </w:p>
    <w:p>
      <w:bookmarkStart w:id="78" w:name="r_TS_034"/>
      <w:pPr>
        <w:pStyle w:val="Heading2"/>
      </w:pPr>
      <w:r>
        <w:t>Villa Serrana la fosa séptica tiene requisitos distintos del depósito impermeable</w:t>
      </w:r>
      <w:bookmarkEnd w:id="78"/>
    </w:p>
    <w:p>
      <w:pPr>
        <w:pStyle w:val="RecordMeta"/>
      </w:pPr>
      <w:r>
        <w:t>TS-034  ·  Hecho o requisito documentado  ·  Z3</w:t>
      </w:r>
    </w:p>
    <w:p>
      <w:r>
        <w:t>El artículo 47 del Plan Local de Villa Serrana distingue la fosa o cámara séptica del depósito que almacena todas las aguas residuales. La fosa separa sólidos y líquidos y requiere retiro periódico de sólidos. Sólo puede emplearse en parcelas de al menos 1.500 m² cuando la disposición final de líquidos se realiza por gravedad dentro del propio predio, sin afectar vecinos, vía pública o espacios públicos. El artículo fija al menos 2.500 litros por compartimento y 5.000 litros totales; para agrupamientos habitacionales considera un mínimo de 1.500 litros por unidad. Esta regulación no vuelve intercambiables la fosa, el depósito del artículo 46 y los sistemas alternativos del artículo 48. Un alojamiento debe justificar el sistema completo, su caudal y disposición final y cumplir los estándares nacionales aplicables, considerando la transición del Decreto 226/025. [TS001, TS002]</w:t>
      </w:r>
    </w:p>
    <w:p>
      <w:pPr>
        <w:pStyle w:val="RecordConditions"/>
      </w:pPr>
      <w:r>
        <w:rPr>
          <w:b/>
        </w:rPr>
        <w:t xml:space="preserve">Condiciones  </w:t>
      </w:r>
      <w:r>
        <w:t>El mínimo de 1.500 m² corresponde a fosa séptica del art. 47, no a cualquier solución alternativa. No autoriza descargar líquidos sin verificar tratamiento y disposición final.</w:t>
      </w:r>
    </w:p>
    <w:p>
      <w:pPr>
        <w:pStyle w:val="SourceNote"/>
      </w:pPr>
      <w:r>
        <w:rPr>
          <w:b/>
        </w:rPr>
        <w:t xml:space="preserve">Fuentes  </w:t>
      </w:r>
      <w:hyperlink w:anchor="s_TS001">
        <w:r>
          <w:rPr>
            <w:color w:val="245C88"/>
            <w:u w:val="single"/>
          </w:rPr>
          <w:t>TS001</w:t>
        </w:r>
      </w:hyperlink>
      <w:r>
        <w:t xml:space="preserve">, </w:t>
      </w:r>
      <w:hyperlink w:anchor="s_TS002">
        <w:r>
          <w:rPr>
            <w:color w:val="245C88"/>
            <w:u w:val="single"/>
          </w:rPr>
          <w:t>TS002</w:t>
        </w:r>
      </w:hyperlink>
      <w:r>
        <w:t xml:space="preserve">  ·  Decreto 3701/2021, arts. 46–48; Decreto 226/025, arts. 79–83</w:t>
      </w:r>
      <w:r>
        <w:t xml:space="preserve">  ·  Período: Normativa consultada al 2026-10-19</w:t>
      </w:r>
    </w:p>
    <w:p>
      <w:bookmarkStart w:id="79" w:name="r_TS_004"/>
      <w:pPr>
        <w:pStyle w:val="Heading2"/>
      </w:pPr>
      <w:r>
        <w:t>Villa Serrana tratamiento alternativo de efluentes y excepción para plantas compactas</w:t>
      </w:r>
      <w:bookmarkEnd w:id="79"/>
    </w:p>
    <w:p>
      <w:pPr>
        <w:pStyle w:val="RecordMeta"/>
      </w:pPr>
      <w:r>
        <w:t>TS-004  ·  Hecho o requisito documentado  ·  Z3</w:t>
      </w:r>
    </w:p>
    <w:p>
      <w:r>
        <w:t>El artículo 48 del Plan Local de Villa Serrana permite estudiar soluciones alternativas de saneamiento mediante proyecto de un ingeniero civil hidráulico sanitario y/o hidráulico ambiental autorizado. Deben incluir diseño, funcionamiento y mantenimiento; la Intendencia puede rechazarlas si estima daños o molestias. Como regla local, estas soluciones requieren predios de al menos 3.500 m² y disposición dentro del propio inmueble, sin afectar espacios públicos ni vecinos. El artículo admite exceptuar de ese mínimo a las plantas compactas de tratamiento; la excepción no equivale a aprobación del proyecto. El plan de 2021 remite al Decreto 253/979, pero el Decreto nacional 226/025 introdujo un nuevo marco de calidad de agua con derogaciones y disposiciones transitorias. Ese cambio nacional no permite presumir derogadas las condiciones departamentales de superficie, ubicación o proyecto. Un hotel o conjunto de cabañas debe verificar simultáneamente condiciones locales, autorización del sistema y régimen nacional aplicable. [TS001, TS002]</w:t>
      </w:r>
    </w:p>
    <w:p>
      <w:pPr>
        <w:pStyle w:val="RecordConditions"/>
      </w:pPr>
      <w:r>
        <w:rPr>
          <w:b/>
        </w:rPr>
        <w:t xml:space="preserve">Condiciones  </w:t>
      </w:r>
      <w:r>
        <w:t>La excepción de superficie para planta compacta requiere evaluación expresa. Actualizar los parámetros nacionales de vertido: no copiar automáticamente el Decreto 253/979.</w:t>
      </w:r>
    </w:p>
    <w:p>
      <w:pPr>
        <w:pStyle w:val="SourceNote"/>
      </w:pPr>
      <w:r>
        <w:rPr>
          <w:b/>
        </w:rPr>
        <w:t xml:space="preserve">Fuentes  </w:t>
      </w:r>
      <w:hyperlink w:anchor="s_TS001">
        <w:r>
          <w:rPr>
            <w:color w:val="245C88"/>
            <w:u w:val="single"/>
          </w:rPr>
          <w:t>TS001</w:t>
        </w:r>
      </w:hyperlink>
      <w:r>
        <w:t xml:space="preserve">, </w:t>
      </w:r>
      <w:hyperlink w:anchor="s_TS002">
        <w:r>
          <w:rPr>
            <w:color w:val="245C88"/>
            <w:u w:val="single"/>
          </w:rPr>
          <w:t>TS002</w:t>
        </w:r>
      </w:hyperlink>
      <w:r>
        <w:t xml:space="preserve">  ·  Decreto 3701/2021, art. 48; Decreto 226/025, arts. 79–83</w:t>
      </w:r>
      <w:r>
        <w:t xml:space="preserve">  ·  Período: Normativa consultada al 2026-10-19</w:t>
      </w:r>
    </w:p>
    <w:p>
      <w:bookmarkStart w:id="80" w:name="r_TS_005"/>
      <w:pPr>
        <w:pStyle w:val="Heading2"/>
      </w:pPr>
      <w:r>
        <w:t>Villa Serrana contenedores terminaciones y permiso de construcción</w:t>
      </w:r>
      <w:bookmarkEnd w:id="80"/>
    </w:p>
    <w:p>
      <w:pPr>
        <w:pStyle w:val="RecordMeta"/>
      </w:pPr>
      <w:r>
        <w:t>TS-005  ·  Hecho o requisito documentado  ·  Z3</w:t>
      </w:r>
    </w:p>
    <w:p>
      <w:r>
        <w:t>Los artículos 73–74 del Plan Local de Villa Serrana condicionan la materialidad y apariencia de las construcciones y someten las obras a permiso. Los contenedores marítimos o intermodales no se admiten como solución visible sin adaptación: el texto contempla su utilización únicamente con terminaciones iniciales de fachadas y cubierta que cumplan las exigencias del plan. También limita acabados exteriores blancos, brillantes, reflectantes o de alta saturación según el articulado. No corresponde promocionar una cabaña prefabricada o modular como exenta de controles por su sistema constructivo. Obra nueva, ampliación, reforma, reciclaje, demolición y regularización requieren el permiso aprobado que corresponda. La prefactibilidad debe comprobar además ocupación, alturas, retiros y estudios de impacto exigibles para la subzona, antes de contratar módulos o ejecutar movimientos de suelo. [TS001]</w:t>
      </w:r>
    </w:p>
    <w:p>
      <w:pPr>
        <w:pStyle w:val="RecordConditions"/>
      </w:pPr>
      <w:r>
        <w:rPr>
          <w:b/>
        </w:rPr>
        <w:t xml:space="preserve">Condiciones  </w:t>
      </w:r>
      <w:r>
        <w:t>Verificar el diseño concreto de fachada y cubierta; la admisibilidad no depende sólo del nombre comercial del módulo. El permiso debe cubrir la intervención proyectada.</w:t>
      </w:r>
    </w:p>
    <w:p>
      <w:pPr>
        <w:pStyle w:val="SourceNote"/>
      </w:pPr>
      <w:r>
        <w:rPr>
          <w:b/>
        </w:rPr>
        <w:t xml:space="preserve">Fuentes  </w:t>
      </w:r>
      <w:hyperlink w:anchor="s_TS001">
        <w:r>
          <w:rPr>
            <w:color w:val="245C88"/>
            <w:u w:val="single"/>
          </w:rPr>
          <w:t>TS001</w:t>
        </w:r>
      </w:hyperlink>
      <w:r>
        <w:t xml:space="preserve">  ·  Decreto 3701/2021, arts. 73–74</w:t>
      </w:r>
      <w:r>
        <w:t xml:space="preserve">  ·  Período: Normativa consultada al 2026-10-19</w:t>
      </w:r>
    </w:p>
    <w:p>
      <w:bookmarkStart w:id="81" w:name="r_TS_006"/>
      <w:pPr>
        <w:pStyle w:val="Heading2"/>
      </w:pPr>
      <w:r>
        <w:t>Villa Serrana estacionamiento mínimo por habitación de alojamiento</w:t>
      </w:r>
      <w:bookmarkEnd w:id="81"/>
    </w:p>
    <w:p>
      <w:pPr>
        <w:pStyle w:val="RecordMeta"/>
      </w:pPr>
      <w:r>
        <w:t>TS-006  ·  Hecho o requisito documentado  ·  Z3</w:t>
      </w:r>
    </w:p>
    <w:p>
      <w:r>
        <w:t>El artículo 74(a) del Plan Local de Villa Serrana exige resolver dentro del padrón el estacionamiento: al menos un lugar por unidad de vivienda o por habitación de cualquier modalidad de alojamiento. Es una condición que puede limitar el número de habitaciones comercializables incluso cuando la superficie edificable parezca suficiente. El lugar mínimo sin paredes mide 2,50 por 5 metros; con cerramientos verticales, 3 por 5 metros. Cuando está techado, computa dentro de los factores de ocupación correspondientes. Un anteproyecto hotelero debe compatibilizar habitaciones, estacionamientos, accesos y maniobras con retiros, drenajes y protección de vegetación. La existencia de espacio junto al camino no satisface por sí sola la obligación dentro del inmueble. El cálculo debe aplicarse conjuntamente con los demás parámetros de la subzona y el permiso de construcción. [TS001]</w:t>
      </w:r>
    </w:p>
    <w:p>
      <w:pPr>
        <w:pStyle w:val="RecordConditions"/>
      </w:pPr>
      <w:r>
        <w:rPr>
          <w:b/>
        </w:rPr>
        <w:t xml:space="preserve">Condiciones  </w:t>
      </w:r>
      <w:r>
        <w:t>No deducir número de habitaciones únicamente de la superficie del lote. Contabilizar estacionamientos cubiertos en ocupación del suelo.</w:t>
      </w:r>
    </w:p>
    <w:p>
      <w:pPr>
        <w:pStyle w:val="SourceNote"/>
      </w:pPr>
      <w:r>
        <w:rPr>
          <w:b/>
        </w:rPr>
        <w:t xml:space="preserve">Fuentes  </w:t>
      </w:r>
      <w:hyperlink w:anchor="s_TS001">
        <w:r>
          <w:rPr>
            <w:color w:val="245C88"/>
            <w:u w:val="single"/>
          </w:rPr>
          <w:t>TS001</w:t>
        </w:r>
      </w:hyperlink>
      <w:r>
        <w:t xml:space="preserve">  ·  Decreto 3701/2021, art. 74, literal a</w:t>
      </w:r>
      <w:r>
        <w:t xml:space="preserve">  ·  Período: Normativa consultada al 2026-10-19</w:t>
      </w:r>
    </w:p>
    <w:p>
      <w:bookmarkStart w:id="82" w:name="r_TS_007"/>
      <w:pPr>
        <w:pStyle w:val="Heading2"/>
      </w:pPr>
      <w:r>
        <w:t>Villa Serrana SU4 hotelería y camping en áreas altas vulnerables</w:t>
      </w:r>
      <w:bookmarkEnd w:id="82"/>
    </w:p>
    <w:p>
      <w:pPr>
        <w:pStyle w:val="RecordMeta"/>
      </w:pPr>
      <w:r>
        <w:t>TS-007  ·  Hecho o requisito documentado  ·  Z3</w:t>
      </w:r>
    </w:p>
    <w:p>
      <w:r>
        <w:t>La zona SU4 del Plan Local de Villa Serrana comprende sectores altos vulnerables y predios de mayor dimensión, con reglas específicas en el artículo 103. El plan contempla usos residenciales y de camping y, para grandes predios, hotelería, modalidades parahoteleras, gastronomía, cultura y naturaleza, subordinados a la conservación del territorio. No admite que esa vocación turística justifique transformaciones importantes del relieve ni parámetros extraordinarios de construcción. Deben preservarse afloramientos rocosos, monte nativo y morfología; el artículo exige evaluación de impacto ambiental, urbano, paisajístico y de ordenamiento territorial. Califica como incompatibles, entre otros, industria, logística, usos comerciales allí indicados, parques eólicos y torres. Un promotor debe identificar primero si su padrón es SU4 y justificar escala, accesos, saneamiento e integración paisajística; la mención a hotelería no constituye habilitación individual. [TS001]</w:t>
      </w:r>
    </w:p>
    <w:p>
      <w:pPr>
        <w:pStyle w:val="RecordConditions"/>
      </w:pPr>
      <w:r>
        <w:rPr>
          <w:b/>
        </w:rPr>
        <w:t xml:space="preserve">Condiciones  </w:t>
      </w:r>
      <w:r>
        <w:t>La evaluación de impacto exigida por el plan es específica del proyecto. No extender la regla SU4 a otras subzonas o fuera del ámbito del plan.</w:t>
      </w:r>
    </w:p>
    <w:p>
      <w:pPr>
        <w:pStyle w:val="SourceNote"/>
      </w:pPr>
      <w:r>
        <w:rPr>
          <w:b/>
        </w:rPr>
        <w:t xml:space="preserve">Fuentes  </w:t>
      </w:r>
      <w:hyperlink w:anchor="s_TS001">
        <w:r>
          <w:rPr>
            <w:color w:val="245C88"/>
            <w:u w:val="single"/>
          </w:rPr>
          <w:t>TS001</w:t>
        </w:r>
      </w:hyperlink>
      <w:r>
        <w:t xml:space="preserve">  ·  Decreto 3701/2021, art. 103</w:t>
      </w:r>
      <w:r>
        <w:t xml:space="preserve">  ·  Período: Normativa consultada al 2026-10-19</w:t>
      </w:r>
    </w:p>
    <w:p>
      <w:bookmarkStart w:id="83" w:name="r_TS_008"/>
      <w:pPr>
        <w:pStyle w:val="Heading2"/>
      </w:pPr>
      <w:r>
        <w:t>Villa Serrana SU5 corredores biológicos drenaje y lotes menores a 1000 m²</w:t>
      </w:r>
      <w:bookmarkEnd w:id="83"/>
    </w:p>
    <w:p>
      <w:pPr>
        <w:pStyle w:val="RecordMeta"/>
      </w:pPr>
      <w:r>
        <w:t>TS-008  ·  Hecho o requisito documentado  ·  Z3</w:t>
      </w:r>
    </w:p>
    <w:p>
      <w:r>
        <w:t>La zona SU5 del Plan Local de Villa Serrana protege ecosistemas frágiles, corredores biológicos y ámbitos de drenaje. El artículo 107 establece como regla no intervenir en lotes menores a 1.000 m²; prevé una posible excepción mediante proyecto ambiental detallado que asegure continuidad biológica y de escurrimientos. La excepción no se presume por la existencia previa de un fraccionamiento. Los usos turísticos, alojamiento o gastronomía considerados compatibles deben evitar transformaciones territoriales y requerimientos extraordinarios de edificabilidad. Industria, logística y otros usos expresamente incompatibles quedan fuera de esa compatibilidad turística. En una compra para cabañas resulta decisivo verificar si parte del lote pertenece a SU5, si coincide con un cauce o retiro y si existe un área efectivamente construible. La superficie catastral total no equivale a superficie apta para construir. [TS001]</w:t>
      </w:r>
    </w:p>
    <w:p>
      <w:pPr>
        <w:pStyle w:val="RecordConditions"/>
      </w:pPr>
      <w:r>
        <w:rPr>
          <w:b/>
        </w:rPr>
        <w:t xml:space="preserve">Condiciones  </w:t>
      </w:r>
      <w:r>
        <w:t>Identificar superposición de corredor biológico, drenaje y retiros. Una excepción requiere aprobación del proyecto particular.</w:t>
      </w:r>
    </w:p>
    <w:p>
      <w:pPr>
        <w:pStyle w:val="SourceNote"/>
      </w:pPr>
      <w:r>
        <w:rPr>
          <w:b/>
        </w:rPr>
        <w:t xml:space="preserve">Fuentes  </w:t>
      </w:r>
      <w:hyperlink w:anchor="s_TS001">
        <w:r>
          <w:rPr>
            <w:color w:val="245C88"/>
            <w:u w:val="single"/>
          </w:rPr>
          <w:t>TS001</w:t>
        </w:r>
      </w:hyperlink>
      <w:r>
        <w:t xml:space="preserve">  ·  Decreto 3701/2021, art. 107</w:t>
      </w:r>
      <w:r>
        <w:t xml:space="preserve">  ·  Período: Normativa consultada al 2026-10-19</w:t>
      </w:r>
    </w:p>
    <w:p>
      <w:bookmarkStart w:id="84" w:name="r_TS_009"/>
      <w:pPr>
        <w:pStyle w:val="Heading2"/>
      </w:pPr>
      <w:r>
        <w:t>Villa Serrana paisaje nocturno vegetación nativa y cercos permeables</w:t>
      </w:r>
      <w:bookmarkEnd w:id="84"/>
    </w:p>
    <w:p>
      <w:pPr>
        <w:pStyle w:val="RecordMeta"/>
      </w:pPr>
      <w:r>
        <w:t>TS-009  ·  Hecho o requisito documentado  ·  Z3</w:t>
      </w:r>
    </w:p>
    <w:p>
      <w:r>
        <w:t>El artículo 51 del Plan Local de Villa Serrana protege ecosistemas, afloramientos y continuidad del paisaje. Excluye forestación productiva y canteras de todo tipo del ámbito del plan y restringe alteraciones del relieve. También orienta los cercos a permitir circulación de fauna y prohíbe los cerramientos macizos continuos, con condiciones para los cercos admitidos. Para iluminación exterior establece una luminaria artificial por vivienda, luz cálida y dirigida hacia abajo, vinculada al acceso y con protección contra dispersión lumínica. Admite excepcionalmente luz para actividades, apagándola al concluir, y prohíbe iluminación nocturna decorativa, ornamental o publicitaria. La regla residencial debe cotejarse con el proyecto hotelero concreto. La aplicación al turismo consiste en diseñar senderos, jardinería, seguridad y operación nocturna dentro de los límites de protección; promocionar naturaleza o cielos oscuros no elimina exigencias constructivas y ambientales. [TS001]</w:t>
      </w:r>
    </w:p>
    <w:p>
      <w:pPr>
        <w:pStyle w:val="RecordConditions"/>
      </w:pPr>
      <w:r>
        <w:rPr>
          <w:b/>
        </w:rPr>
        <w:t xml:space="preserve">Condiciones  </w:t>
      </w:r>
      <w:r>
        <w:t>Revisar el régimen concreto del uso turístico y sus luminarias con IDL. Respetar monte nativo y pasos de fauna; no sustituirlos por paisajismo ornamental sin evaluación.</w:t>
      </w:r>
    </w:p>
    <w:p>
      <w:pPr>
        <w:pStyle w:val="SourceNote"/>
      </w:pPr>
      <w:r>
        <w:rPr>
          <w:b/>
        </w:rPr>
        <w:t xml:space="preserve">Fuentes  </w:t>
      </w:r>
      <w:hyperlink w:anchor="s_TS001">
        <w:r>
          <w:rPr>
            <w:color w:val="245C88"/>
            <w:u w:val="single"/>
          </w:rPr>
          <w:t>TS001</w:t>
        </w:r>
      </w:hyperlink>
      <w:r>
        <w:t xml:space="preserve">  ·  Decreto 3701/2021, art. 51</w:t>
      </w:r>
      <w:r>
        <w:t xml:space="preserve">  ·  Período: Normativa consultada al 2026-10-19</w:t>
      </w:r>
    </w:p>
    <w:p>
      <w:bookmarkStart w:id="85" w:name="r_TS_010"/>
      <w:pPr>
        <w:pStyle w:val="Heading2"/>
      </w:pPr>
      <w:r>
        <w:t>Villa Serrana condiciones mínimas para nuevos fraccionamientos</w:t>
      </w:r>
      <w:bookmarkEnd w:id="85"/>
    </w:p>
    <w:p>
      <w:pPr>
        <w:pStyle w:val="RecordMeta"/>
      </w:pPr>
      <w:r>
        <w:t>TS-010  ·  Hecho o requisito documentado  ·  Z3</w:t>
      </w:r>
    </w:p>
    <w:p>
      <w:r>
        <w:t>El artículo 68 del Plan Local de Villa Serrana somete fraccionamientos y reparcelamientos a aprobación departamental. No permite crear nuevos lotes para vivienda u otros usos sin suministro eléctrico habilitado, posibilidad de abastecimiento de agua potable, saneamiento o solución técnicamente viable para efluentes, manejo adecuado de aguas pluviales y acceso seguro, al menos peatonal, utilizable en cualquier condición climática. Son requisitos para el proyecto de suelo, distintos de la demanda comercial por lotes o alojamientos. Antes de comprar una superficie para dividir y vender como parcelas turísticas se debe comprobar su fraccionabilidad y los parámetros particulares de la subzona. El artículo 66 dispone que, ante discrepancias entre cuadros y articulado, prevalezcan las disposiciones de los artículos. Las promesas de servicios futuros requieren evidencia técnica y administrativa. [TS001]</w:t>
      </w:r>
    </w:p>
    <w:p>
      <w:pPr>
        <w:pStyle w:val="RecordConditions"/>
      </w:pPr>
      <w:r>
        <w:rPr>
          <w:b/>
        </w:rPr>
        <w:t xml:space="preserve">Condiciones  </w:t>
      </w:r>
      <w:r>
        <w:t>La disponibilidad futura de agua o electricidad debe documentarse. No asumir que un predio subdivisible catastralmente es fraccionable conforme al plan.</w:t>
      </w:r>
    </w:p>
    <w:p>
      <w:pPr>
        <w:pStyle w:val="SourceNote"/>
      </w:pPr>
      <w:r>
        <w:rPr>
          <w:b/>
        </w:rPr>
        <w:t xml:space="preserve">Fuentes  </w:t>
      </w:r>
      <w:hyperlink w:anchor="s_TS001">
        <w:r>
          <w:rPr>
            <w:color w:val="245C88"/>
            <w:u w:val="single"/>
          </w:rPr>
          <w:t>TS001</w:t>
        </w:r>
      </w:hyperlink>
      <w:r>
        <w:t xml:space="preserve">  ·  Decreto 3701/2021, arts. 66 y 68</w:t>
      </w:r>
      <w:r>
        <w:t xml:space="preserve">  ·  Período: Normativa consultada al 2026-10-19</w:t>
      </w:r>
    </w:p>
    <w:p>
      <w:bookmarkStart w:id="86" w:name="r_TS_011"/>
      <w:pPr>
        <w:pStyle w:val="Heading2"/>
      </w:pPr>
      <w:r>
        <w:t>Alojamientos turísticos en Lavalleja registro sectorial antes de operar</w:t>
      </w:r>
      <w:bookmarkEnd w:id="86"/>
    </w:p>
    <w:p>
      <w:pPr>
        <w:pStyle w:val="RecordMeta"/>
      </w:pPr>
      <w:r>
        <w:t>TS-011  ·  Hecho o requisito documentado  ·  Z1, Z2, Z3, Z4, Z5, Z6, Z7</w:t>
      </w:r>
    </w:p>
    <w:p>
      <w:r>
        <w:t>El Ministerio de Turismo establece la inscripción previa al inicio de actividad para los alojamientos alcanzados por su normativa. El trámite actualizado el 2 de marzo de 2026 solicita declaración jurada, certificación notarial, situación vigente ante BPS y DGI o convenios admitidos, y constancias policiales de las personas responsables indicadas. Pide además habilitación departamental vigente para alojamiento turístico o el certificado de arquitecto previsto por el procedimiento. La documentación turística debe cotejarse con la autorización del inmueble y el proyecto concretos: su presentación no cambia la categoría de suelo ni aprueba obras. Para un inversor en Minas, Solís de Mataojo, Villa Serrana o una localidad del norte, la secuencia razonable es verificar el padrón, dimensionar el establecimiento y preparar el registro correspondiente antes de iniciar la explotación. [TS003]</w:t>
      </w:r>
    </w:p>
    <w:p>
      <w:pPr>
        <w:pStyle w:val="RecordConditions"/>
      </w:pPr>
      <w:r>
        <w:rPr>
          <w:b/>
        </w:rPr>
        <w:t xml:space="preserve">Condiciones  </w:t>
      </w:r>
      <w:r>
        <w:t>La alternativa documental del certificado de arquitecto no equivale a dispensa de normativa territorial. Verificar encuadre de la modalidad exacta de alojamiento.</w:t>
      </w:r>
    </w:p>
    <w:p>
      <w:pPr>
        <w:pStyle w:val="SourceNote"/>
      </w:pPr>
      <w:r>
        <w:rPr>
          <w:b/>
        </w:rPr>
        <w:t xml:space="preserve">Fuentes  </w:t>
      </w:r>
      <w:hyperlink w:anchor="s_TS003">
        <w:r>
          <w:rPr>
            <w:color w:val="245C88"/>
            <w:u w:val="single"/>
          </w:rPr>
          <w:t>TS003</w:t>
        </w:r>
      </w:hyperlink>
      <w:r>
        <w:t xml:space="preserve">  ·  Portal MINTUR, Alojamientos, requisitos</w:t>
      </w:r>
      <w:r>
        <w:t xml:space="preserve">  ·  Período: Trámite actualizado 02/03/2026; consulta 19/10/2026</w:t>
      </w:r>
    </w:p>
    <w:p>
      <w:bookmarkStart w:id="87" w:name="r_TS_012"/>
      <w:pPr>
        <w:pStyle w:val="Heading2"/>
      </w:pPr>
      <w:r>
        <w:t>Camping organizado planos y operación deben acompañar el registro turístico</w:t>
      </w:r>
      <w:bookmarkEnd w:id="87"/>
    </w:p>
    <w:p>
      <w:pPr>
        <w:pStyle w:val="RecordMeta"/>
      </w:pPr>
      <w:r>
        <w:t>TS-012  ·  Hecho con aplicación o inferencia  ·  Z1, Z2, Z3, Z4, Z5, Z6, Z7</w:t>
      </w:r>
    </w:p>
    <w:p>
      <w:r>
        <w:t>El registro de alojamientos del Ministerio de Turismo añade requisitos para el camping organizado. Exige un plano de ubicación con accesos y distancias a los centros habitados próximos, un plano a escala que identifique edificaciones, instalaciones, servicios, caminería, áreas de campamento y espacios comunes, y un reglamento interno. Por tanto, un proyecto de camping o una propuesta comercial denominada glamping debe confirmar su encuadre y preparar una organización física y operativa verificable. En Villa Serrana, ese registro se combina con subzona, protección de drenajes, solución de efluentes y permiso del Plan Local; fuera de su ámbito corresponde el instrumento territorial del padrón. Como evaluación comercial, conviene calcular plazas efectivas después de reservar superficies para circulación y servicios, y analizar abastecimiento de agua y retiro de residuos en máxima ocupación. [TS003, TS001]</w:t>
      </w:r>
    </w:p>
    <w:p>
      <w:pPr>
        <w:pStyle w:val="RecordConditions"/>
      </w:pPr>
      <w:r>
        <w:rPr>
          <w:b/>
        </w:rPr>
        <w:t xml:space="preserve">Condiciones  </w:t>
      </w:r>
      <w:r>
        <w:t>Glamping es una denominación comercial: confirmar categoría administrativa. No convertir la superficie del campo en capacidad de acampe sin proyecto.</w:t>
      </w:r>
    </w:p>
    <w:p>
      <w:pPr>
        <w:pStyle w:val="SourceNote"/>
      </w:pPr>
      <w:r>
        <w:rPr>
          <w:b/>
        </w:rPr>
        <w:t xml:space="preserve">Fuentes  </w:t>
      </w:r>
      <w:hyperlink w:anchor="s_TS003">
        <w:r>
          <w:rPr>
            <w:color w:val="245C88"/>
            <w:u w:val="single"/>
          </w:rPr>
          <w:t>TS003</w:t>
        </w:r>
      </w:hyperlink>
      <w:r>
        <w:t xml:space="preserve">, </w:t>
      </w:r>
      <w:hyperlink w:anchor="s_TS001">
        <w:r>
          <w:rPr>
            <w:color w:val="245C88"/>
            <w:u w:val="single"/>
          </w:rPr>
          <w:t>TS001</w:t>
        </w:r>
      </w:hyperlink>
      <w:r>
        <w:t xml:space="preserve">  ·  Portal MINTUR, Alojamientos, Camping organizado; Decreto 3701/2021</w:t>
      </w:r>
      <w:r>
        <w:t xml:space="preserve">  ·  Período: Trámite actualizado 02/03/2026; norma local 2021 consultada 19/10/2026</w:t>
      </w:r>
    </w:p>
    <w:p>
      <w:bookmarkStart w:id="88" w:name="r_TS_013"/>
      <w:pPr>
        <w:pStyle w:val="Heading2"/>
      </w:pPr>
      <w:r>
        <w:t>Turismo rural y enoturismo sin alojamiento encuadres diferentes</w:t>
      </w:r>
      <w:bookmarkEnd w:id="88"/>
    </w:p>
    <w:p>
      <w:pPr>
        <w:pStyle w:val="RecordMeta"/>
      </w:pPr>
      <w:r>
        <w:t>TS-013  ·  Hecho con aplicación o inferencia  ·  Z1, Z2, Z3, Z4, Z5, Z6, Z7</w:t>
      </w:r>
    </w:p>
    <w:p>
      <w:r>
        <w:t>El Ministerio de Turismo dispone de una sección para establecimientos rurales sin alojamiento y otra para establecimientos enológicos que no alojan huéspedes. El rural debe presentar información empresarial, certificados fiscales, el anexo del Decreto 371/002 y fotografías de instalaciones. La bodega necesita, además del soporte empresarial, habilitación vigente de INAVI y croquis; su inscripción turística dura cinco años y exige presentar anualmente la habilitación de INAVI. Si incorpora pernocte debe revisar el régimen de alojamientos. Para Lavalleja, combinar producción, visitas, degustaciones o experiencias de campo es una oportunidad a evaluar con productores y demanda real; este encuadre nacional no acredita existencia de una bodega disponible ni aptitud vitícola en una localidad. Deben comprobarse uso del suelo, accesos, seguridad, capacidad sanitaria y demás permisos de las actividades efectivamente ofrecidas. [TS004, TS003]</w:t>
      </w:r>
    </w:p>
    <w:p>
      <w:pPr>
        <w:pStyle w:val="RecordConditions"/>
      </w:pPr>
      <w:r>
        <w:rPr>
          <w:b/>
        </w:rPr>
        <w:t xml:space="preserve">Condiciones  </w:t>
      </w:r>
      <w:r>
        <w:t>No atribuir aptitud agronómica o una bodega operativa a una zona por disponer de un trámite nacional. Revisar el régimen cuando se incorpora alojamiento.</w:t>
      </w:r>
    </w:p>
    <w:p>
      <w:pPr>
        <w:pStyle w:val="SourceNote"/>
      </w:pPr>
      <w:r>
        <w:rPr>
          <w:b/>
        </w:rPr>
        <w:t xml:space="preserve">Fuentes  </w:t>
      </w:r>
      <w:hyperlink w:anchor="s_TS004">
        <w:r>
          <w:rPr>
            <w:color w:val="245C88"/>
            <w:u w:val="single"/>
          </w:rPr>
          <w:t>TS004</w:t>
        </w:r>
      </w:hyperlink>
      <w:r>
        <w:t xml:space="preserve">, </w:t>
      </w:r>
      <w:hyperlink w:anchor="s_TS003">
        <w:r>
          <w:rPr>
            <w:color w:val="245C88"/>
            <w:u w:val="single"/>
          </w:rPr>
          <w:t>TS003</w:t>
        </w:r>
      </w:hyperlink>
      <w:r>
        <w:t xml:space="preserve">  ·  Portal MINTUR, Establecimientos rurales y/o bodegas; Alojamientos</w:t>
      </w:r>
      <w:r>
        <w:t xml:space="preserve">  ·  Período: Trámites actualizados 02/03/2026; consulta 19/10/2026</w:t>
      </w:r>
    </w:p>
    <w:p>
      <w:bookmarkStart w:id="89" w:name="r_TS_014"/>
      <w:pPr>
        <w:pStyle w:val="Heading2"/>
      </w:pPr>
      <w:r>
        <w:t>Turismo aventura registro y responsabilidad civil anual</w:t>
      </w:r>
      <w:bookmarkEnd w:id="89"/>
    </w:p>
    <w:p>
      <w:pPr>
        <w:pStyle w:val="RecordMeta"/>
      </w:pPr>
      <w:r>
        <w:t>TS-014  ·  Hecho con aplicación o inferencia  ·  Z1, Z2, Z3, Z4, Z5, Z6, Z7</w:t>
      </w:r>
    </w:p>
    <w:p>
      <w:r>
        <w:t>El procedimiento del Ministerio de Turismo para empresas de turismo aventura incluye declaración jurada específica, certificación notarial, acreditación tributaria y de seguridad social y documentación policial de responsables. Además, requiere presentar cada año la póliza de responsabilidad civil vigente con condiciones generales y particulares. Es una pieza concreta para estructurar servicios de aventura en el entorno de Minas, Penitente, Arequita y otras áreas rurales de Lavalleja, siempre que se verifique el encuadre de cada actividad. El registro de la empresa no acredita autorización de acceso a un predio, apertura de senderos o compatibilidad de instalaciones con un área protegida. Como evaluación de negocio, deben definirse actividades, límites del seguro, responsables, logística y respuesta ante incidentes antes de comercializar experiencias. La fuente acredita requisitos administrativos, no la rentabilidad ni la seguridad de un recorrido específico. [TS005]</w:t>
      </w:r>
    </w:p>
    <w:p>
      <w:pPr>
        <w:pStyle w:val="RecordConditions"/>
      </w:pPr>
      <w:r>
        <w:rPr>
          <w:b/>
        </w:rPr>
        <w:t xml:space="preserve">Condiciones  </w:t>
      </w:r>
      <w:r>
        <w:t>Verificar autorización del titular del predio y regulación territorial o ambiental del sitio. Actualizar la póliza de responsabilidad civil anualmente.</w:t>
      </w:r>
    </w:p>
    <w:p>
      <w:pPr>
        <w:pStyle w:val="SourceNote"/>
      </w:pPr>
      <w:r>
        <w:rPr>
          <w:b/>
        </w:rPr>
        <w:t xml:space="preserve">Fuentes  </w:t>
      </w:r>
      <w:hyperlink w:anchor="s_TS005">
        <w:r>
          <w:rPr>
            <w:color w:val="245C88"/>
            <w:u w:val="single"/>
          </w:rPr>
          <w:t>TS005</w:t>
        </w:r>
      </w:hyperlink>
      <w:r>
        <w:t xml:space="preserve">  ·  Portal MINTUR, Turismo aventura, requisitos y otros datos</w:t>
      </w:r>
      <w:r>
        <w:t xml:space="preserve">  ·  Período: Trámite actualizado 02/03/2026; consulta 19/10/2026</w:t>
      </w:r>
    </w:p>
    <w:p>
      <w:bookmarkStart w:id="90" w:name="r_TS_015"/>
      <w:pPr>
        <w:pStyle w:val="Heading2"/>
      </w:pPr>
      <w:r>
        <w:t>Transporte turístico preinscripción MINTUR y permiso de circulación MTOP</w:t>
      </w:r>
      <w:bookmarkEnd w:id="90"/>
    </w:p>
    <w:p>
      <w:pPr>
        <w:pStyle w:val="RecordMeta"/>
      </w:pPr>
      <w:r>
        <w:t>TS-015  ·  Hecho con aplicación o inferencia  ·  Z1, Z2, Z3, Z4, Z5, Z6, Z7</w:t>
      </w:r>
    </w:p>
    <w:p>
      <w:r>
        <w:t>Para transporte turístico, el procedimiento oficial combina el registro del Ministerio de Turismo con el Permiso Nacional de Circulación de la Dirección Nacional de Transporte del MTOP. Tras emitir MINTUR una constancia de preinscripción, el solicitante la presenta al MTOP y luego aporta el permiso para finalizar su inscripción turística. La constancia dura 30 días y no autoriza actividad. El trámite incluye garantía de funcionamiento, cuya categoría y monto deben comprobarse según la modalidad; existe renovación anual de la garantía. Esta secuencia es relevante para estudiar traslados entre Minas, atractivos serranos y localidades del interior, o circuitos contratados desde otros departamentos. La existencia de rutas y atractivos no demuestra demanda suficiente: deben validarse pasajeros, frecuencia, retorno, estacionalidad, costos del vehículo y acuerdos comerciales antes de dimensionar la flota. [TS006]</w:t>
      </w:r>
    </w:p>
    <w:p>
      <w:pPr>
        <w:pStyle w:val="RecordConditions"/>
      </w:pPr>
      <w:r>
        <w:rPr>
          <w:b/>
        </w:rPr>
        <w:t xml:space="preserve">Condiciones  </w:t>
      </w:r>
      <w:r>
        <w:t>La preinscripción de 30 días no habilita a transportar turistas. Confirmar garantía y régimen del vehículo y servicio concretos.</w:t>
      </w:r>
    </w:p>
    <w:p>
      <w:pPr>
        <w:pStyle w:val="SourceNote"/>
      </w:pPr>
      <w:r>
        <w:rPr>
          <w:b/>
        </w:rPr>
        <w:t xml:space="preserve">Fuentes  </w:t>
      </w:r>
      <w:hyperlink w:anchor="s_TS006">
        <w:r>
          <w:rPr>
            <w:color w:val="245C88"/>
            <w:u w:val="single"/>
          </w:rPr>
          <w:t>TS006</w:t>
        </w:r>
      </w:hyperlink>
      <w:r>
        <w:t xml:space="preserve">  ·  Portal MINTUR, Agencia de viajes y/o transporte turístico, requisitos</w:t>
      </w:r>
      <w:r>
        <w:t xml:space="preserve">  ·  Período: Trámite actualizado 02/03/2026; consulta 19/10/2026</w:t>
      </w:r>
    </w:p>
    <w:p>
      <w:bookmarkStart w:id="91" w:name="r_TS_016"/>
      <w:pPr>
        <w:pStyle w:val="Heading2"/>
      </w:pPr>
      <w:r>
        <w:t>Georrutas del Geoparque consultoría convocada en octubre de 2026</w:t>
      </w:r>
      <w:bookmarkEnd w:id="91"/>
    </w:p>
    <w:p>
      <w:pPr>
        <w:pStyle w:val="RecordMeta"/>
      </w:pPr>
      <w:r>
        <w:t>TS-016  ·  Hecho con aplicación o inferencia  ·  Z1, Z2, Z3, Z7</w:t>
      </w:r>
    </w:p>
    <w:p>
      <w:r>
        <w:t>El 1 de octubre de 2026 el Ministerio de Turismo publicó una consultoría, coordinada con IDL y Destino Lavalleja, para diseñar una red de senderos interpretativos y georrutas del Geoparque Manantiales Serranos. El alcance reúne patrimonio geológico, agua, paisaje y cultura e incluye interpretación, señalización y equipamiento. La publicación remite a la Compra Directa 316/2026 y anuncia apertura de ofertas el 16 de octubre a las 15:00. Al corte del 19 de octubre esa fecha ya había pasado; en esta investigación no se verificó adjudicación ni red terminada. La novedad amplía la información general del geoparque ya existente en la base. Como oportunidad comercial inferida, pueden evaluarse servicios de interpretación, cartografía, señalética y experiencias guiadas, condicionados a contratos o autorizaciones concretas y a la implementación efectiva del proyecto. [TS007]</w:t>
      </w:r>
    </w:p>
    <w:p>
      <w:pPr>
        <w:pStyle w:val="RecordConditions"/>
      </w:pPr>
      <w:r>
        <w:rPr>
          <w:b/>
        </w:rPr>
        <w:t xml:space="preserve">Condiciones  </w:t>
      </w:r>
      <w:r>
        <w:t>No presentar el llamado como abierto al 19/10/2026. No presentar senderos diseñados, contratados o ejecutados sin evidencia posterior. Las zonas son referencias comerciales y no sustituyen el polígono oficial del geoparque.</w:t>
      </w:r>
    </w:p>
    <w:p>
      <w:pPr>
        <w:pStyle w:val="SourceNote"/>
      </w:pPr>
      <w:r>
        <w:rPr>
          <w:b/>
        </w:rPr>
        <w:t xml:space="preserve">Fuentes  </w:t>
      </w:r>
      <w:hyperlink w:anchor="s_TS007">
        <w:r>
          <w:rPr>
            <w:color w:val="245C88"/>
            <w:u w:val="single"/>
          </w:rPr>
          <w:t>TS007</w:t>
        </w:r>
      </w:hyperlink>
      <w:r>
        <w:t xml:space="preserve">  ·  Noticia MINTUR 01/10/2026; Compra Directa 316/2026</w:t>
      </w:r>
      <w:r>
        <w:t xml:space="preserve">  ·  Período: Convocatoria 01/10/2026; apertura anunciada 16/10/2026; estado verificado hasta 19/10/2026</w:t>
      </w:r>
    </w:p>
    <w:p>
      <w:bookmarkStart w:id="92" w:name="r_TS_017"/>
      <w:pPr>
        <w:pStyle w:val="Heading2"/>
      </w:pPr>
      <w:r>
        <w:t>Piloto de transformación digital del turismo en Lavalleja servicios digitales para operadores</w:t>
      </w:r>
      <w:bookmarkEnd w:id="92"/>
    </w:p>
    <w:p>
      <w:pPr>
        <w:pStyle w:val="RecordMeta"/>
      </w:pPr>
      <w:r>
        <w:t>TS-017  ·  Hecho con aplicación o inferencia  ·  Z1, Z2, Z3, Z4, Z5, Z6, Z7</w:t>
      </w:r>
    </w:p>
    <w:p>
      <w:r>
        <w:t>La Intendencia informó que el 6 de marzo de 2026 se presentó en UTEC Minas el plan de trabajo del piloto de Transformación Digital del Turismo, junto con MINTUR y BID, dentro de la cooperación técnica UR-T1316. El trabajo territorial previsto por aproximadamente nueve meses incluye diagnóstico de madurez digital, capacitación en comercialización y herramientas tecnológicas, soluciones adaptadas a empresas y un primer sistema territorial de información turística. Es evidencia de un proceso iniciado, no de que todos los operadores dispongan ya de esas capacidades o de un sistema concluido. Para empresas de servicios, la oportunidad inferida es ofrecer implementación, contenidos, reservas, análisis y acompañamiento que respondan a necesidades de operadores concretos. Deben verificarse canales de participación, propiedad de datos, alcance del piloto y contratación; el anuncio no concede un subsidio automático a cualquier proveedor. [TS008]</w:t>
      </w:r>
    </w:p>
    <w:p>
      <w:pPr>
        <w:pStyle w:val="RecordConditions"/>
      </w:pPr>
      <w:r>
        <w:rPr>
          <w:b/>
        </w:rPr>
        <w:t xml:space="preserve">Condiciones  </w:t>
      </w:r>
      <w:r>
        <w:t>Separar acciones previstas de resultados demostrados. Validar demanda y modalidades de participación con MINTUR/IDL.</w:t>
      </w:r>
    </w:p>
    <w:p>
      <w:pPr>
        <w:pStyle w:val="SourceNote"/>
      </w:pPr>
      <w:r>
        <w:rPr>
          <w:b/>
        </w:rPr>
        <w:t xml:space="preserve">Fuentes  </w:t>
      </w:r>
      <w:hyperlink w:anchor="s_TS008">
        <w:r>
          <w:rPr>
            <w:color w:val="245C88"/>
            <w:u w:val="single"/>
          </w:rPr>
          <w:t>TS008</w:t>
        </w:r>
      </w:hyperlink>
      <w:r>
        <w:t xml:space="preserve">  ·  Noticia IDL 06/03/2026, objetivos y nueve meses de trabajo</w:t>
      </w:r>
      <w:r>
        <w:t xml:space="preserve">  ·  Período: Piloto iniciado 06/03/2026; plazo aproximado anunciado de nueve meses</w:t>
      </w:r>
    </w:p>
    <w:p>
      <w:bookmarkStart w:id="93" w:name="r_TS_018"/>
      <w:pPr>
        <w:pStyle w:val="Heading2"/>
      </w:pPr>
      <w:r>
        <w:t>UTEC Minas formación especializada en turismo sostenible</w:t>
      </w:r>
      <w:bookmarkEnd w:id="93"/>
    </w:p>
    <w:p>
      <w:pPr>
        <w:pStyle w:val="RecordMeta"/>
      </w:pPr>
      <w:r>
        <w:t>TS-018  ·  Hecho con aplicación o inferencia  ·  Z1</w:t>
      </w:r>
    </w:p>
    <w:p>
      <w:r>
        <w:t>UTEC publica una Especialización en Turismo Sostenible vinculada a Minas, de modalidad en línea y nueve meses de duración. La cohorte de 2026 tuvo inicio anunciado el 18 de mayo; la ventana de inscripción publicada para abril y mayo ya estaba cerrada al corte del 19 de octubre. La propuesta forma capacidades para asesorar y gestionar turismo sostenible, transformación digital y proyectos del sector. Para un inversor, es un canal concreto a explorar para actualización profesional, desarrollo de equipos y colaboración técnica. La existencia del posgrado no permite estimar cuántos especialistas están disponibles para contratación en Lavalleja ni garantiza una alianza institucional. Un proyecto de alojamiento, gestión de destino o consultoría debe contrastar perfiles, disponibilidad, experiencia y mecanismos formales de vinculación con la universidad. [TS009]</w:t>
      </w:r>
    </w:p>
    <w:p>
      <w:pPr>
        <w:pStyle w:val="RecordConditions"/>
      </w:pPr>
      <w:r>
        <w:rPr>
          <w:b/>
        </w:rPr>
        <w:t xml:space="preserve">Condiciones  </w:t>
      </w:r>
      <w:r>
        <w:t>No ofrecer inscripciones ni becas de una ventana cerrada. No tratar matrícula o oferta educativa como plantilla laboral disponible.</w:t>
      </w:r>
    </w:p>
    <w:p>
      <w:pPr>
        <w:pStyle w:val="SourceNote"/>
      </w:pPr>
      <w:r>
        <w:rPr>
          <w:b/>
        </w:rPr>
        <w:t xml:space="preserve">Fuentes  </w:t>
      </w:r>
      <w:hyperlink w:anchor="s_TS009">
        <w:r>
          <w:rPr>
            <w:color w:val="245C88"/>
            <w:u w:val="single"/>
          </w:rPr>
          <w:t>TS009</w:t>
        </w:r>
      </w:hyperlink>
      <w:r>
        <w:t xml:space="preserve">  ·  UTEC, Especialización en Turismo Sostenible, oferta y cohorte 2026</w:t>
      </w:r>
      <w:r>
        <w:t xml:space="preserve">  ·  Período: Oferta de cohorte 2026, inicio anunciado 18/05/2026</w:t>
      </w:r>
    </w:p>
    <w:p>
      <w:bookmarkStart w:id="94" w:name="r_TS_019"/>
      <w:pPr>
        <w:pStyle w:val="Heading2"/>
      </w:pPr>
      <w:r>
        <w:t>Minas comunicación creativa contenidos digitales y entretenimiento</w:t>
      </w:r>
      <w:bookmarkEnd w:id="94"/>
    </w:p>
    <w:p>
      <w:pPr>
        <w:pStyle w:val="RecordMeta"/>
      </w:pPr>
      <w:r>
        <w:t>TS-019  ·  Hecho con aplicación o inferencia  ·  Z1</w:t>
      </w:r>
    </w:p>
    <w:p>
      <w:r>
        <w:t>UTEC ofrece en Minas la Tecnicatura en Comunicación Creativa y Entretenimiento Digital, con duración de dos años y modalidad semipresencial. Su recorrido reúne videojuegos, posproducción audiovisual, ilustración y animación, comunicación digital y gestión de proyectos. La presencia de esta formación aporta una base institucional específica para explorar pequeños estudios y servicios de contenidos para turismo, comercio y empresas regionales. Esa aplicación empresarial es una hipótesis, no un clúster comercial comprobado. Deben verificarse perfiles ya formados, herramientas, conectividad, clientes y disponibilidad de trabajo antes de prometer capacidad exportadora. La oferta combina actividad presencial en Minas con trabajo en plataforma; no acredita que los estudiantes residan todos en la ciudad ni que el laboratorio universitario esté disponible para explotación privada. Las colaboraciones requieren acuerdos y condiciones institucionales propios. [TS010]</w:t>
      </w:r>
    </w:p>
    <w:p>
      <w:pPr>
        <w:pStyle w:val="RecordConditions"/>
      </w:pPr>
      <w:r>
        <w:rPr>
          <w:b/>
        </w:rPr>
        <w:t xml:space="preserve">Condiciones  </w:t>
      </w:r>
      <w:r>
        <w:t>Distinguir capacidad de formación de oferta laboral efectiva. Validar acceso a infraestructura y propiedad intelectual en acuerdos.</w:t>
      </w:r>
    </w:p>
    <w:p>
      <w:pPr>
        <w:pStyle w:val="SourceNote"/>
      </w:pPr>
      <w:r>
        <w:rPr>
          <w:b/>
        </w:rPr>
        <w:t xml:space="preserve">Fuentes  </w:t>
      </w:r>
      <w:hyperlink w:anchor="s_TS010">
        <w:r>
          <w:rPr>
            <w:color w:val="245C88"/>
            <w:u w:val="single"/>
          </w:rPr>
          <w:t>TS010</w:t>
        </w:r>
      </w:hyperlink>
      <w:r>
        <w:t xml:space="preserve">  ·  UTEC, Tecnicatura en Comunicación Creativa y Entretenimiento Digital</w:t>
      </w:r>
      <w:r>
        <w:t xml:space="preserve">  ·  Período: Oferta publicada consultada 19/10/2026</w:t>
      </w:r>
    </w:p>
    <w:p>
      <w:bookmarkStart w:id="95" w:name="r_TS_020"/>
      <w:pPr>
        <w:pStyle w:val="Heading2"/>
      </w:pPr>
      <w:r>
        <w:t>Minas precedente de atención omnicanal y formación con demanda empresarial</w:t>
      </w:r>
      <w:bookmarkEnd w:id="95"/>
    </w:p>
    <w:p>
      <w:pPr>
        <w:pStyle w:val="RecordMeta"/>
      </w:pPr>
      <w:r>
        <w:t>TS-020  ·  Hecho con aplicación o inferencia  ·  Z1</w:t>
      </w:r>
    </w:p>
    <w:p>
      <w:r>
        <w:t>INEFOP documentó la inauguración, el 4 de octubre de 2024 en Minas, del Servicio de Experiencia Omnicanal de Farmashop. El proyecto surgió de un acuerdo entre la empresa, INEFOP e IDL a través de Juventud, e incluyó capacitación de 40 jóvenes en farmacia comercial y técnicas de venta y atención al cliente. La publicación indica empleo para quienes fueran seleccionados; no permite afirmar que las 40 personas fueran contratadas ni que esa dotación siga vigente en 2026. El antecedente demuestra que se organizó un servicio empresarial descentralizado con formación vinculada a una empresa. Una oportunidad inferida es evaluar centros pequeños de atención y soporte con clientes contratados, requisitos de calidad, conectividad y turnos definidos. El caso no garantiza incentivos iguales, personal disponible o continuidad comercial para otros inversores. [TS011]</w:t>
      </w:r>
    </w:p>
    <w:p>
      <w:pPr>
        <w:pStyle w:val="RecordConditions"/>
      </w:pPr>
      <w:r>
        <w:rPr>
          <w:b/>
        </w:rPr>
        <w:t xml:space="preserve">Condiciones  </w:t>
      </w:r>
      <w:r>
        <w:t>Hecho histórico: no extrapolar plantilla o estado operativo a 2026. 40 jóvenes capacitados no equivale a 40 contratos confirmados.</w:t>
      </w:r>
    </w:p>
    <w:p>
      <w:pPr>
        <w:pStyle w:val="SourceNote"/>
      </w:pPr>
      <w:r>
        <w:rPr>
          <w:b/>
        </w:rPr>
        <w:t xml:space="preserve">Fuentes  </w:t>
      </w:r>
      <w:hyperlink w:anchor="s_TS011">
        <w:r>
          <w:rPr>
            <w:color w:val="245C88"/>
            <w:u w:val="single"/>
          </w:rPr>
          <w:t>TS011</w:t>
        </w:r>
      </w:hyperlink>
      <w:r>
        <w:t xml:space="preserve">  ·  INEFOP, noticia 09/10/2024 actualizada 16/10/2024</w:t>
      </w:r>
      <w:r>
        <w:t xml:space="preserve">  ·  Período: Inauguración 04/10/2024; publicación 09/10/2024</w:t>
      </w:r>
    </w:p>
    <w:p>
      <w:bookmarkStart w:id="96" w:name="r_TS_021"/>
      <w:pPr>
        <w:pStyle w:val="Heading2"/>
      </w:pPr>
      <w:r>
        <w:t>Fiestas de los pueblos actividad cultural más allá de los principales destinos</w:t>
      </w:r>
      <w:bookmarkEnd w:id="96"/>
    </w:p>
    <w:p>
      <w:pPr>
        <w:pStyle w:val="RecordMeta"/>
      </w:pPr>
      <w:r>
        <w:t>TS-021  ·  Hecho con aplicación o inferencia  ·  Z2, Z4, Z5, Z6, Z7</w:t>
      </w:r>
    </w:p>
    <w:p>
      <w:r>
        <w:t>IDL anunció el 28 de septiembre de 2026 que los Días de los Pueblos de la Semana de Lavalleja se extenderían del 2 al 31 de octubre y sumarían siete localidades no municipalizadas: Averías, Poblado Colón, Illescas, Gaetán, Aramendía, Villa del Rosario y Polanco. Se agregan a Solís de Mataojo, José Pedro Varela, José Batlle y Ordóñez, Pirarajá, Zapicán y Mariscala. La programación incorpora expresiones locales, entre ellas el frontón en Polanco y el entorno del Cebollatí en Averías. Como oportunidad a validar, amplía lugares para gastronomía temporal, producción cultural, traslado de equipos y gestión de residuos de eventos. La noticia acredita programación, no concurrencia efectiva, gasto turístico ni actividad anual continua; al corte del 19 de octubre parte del calendario aún era futura. Las localidades nombradas requieren localización propia, sin asignarlas automáticamente a una zona comercial. [TS012]</w:t>
      </w:r>
    </w:p>
    <w:p>
      <w:pPr>
        <w:pStyle w:val="RecordConditions"/>
      </w:pPr>
      <w:r>
        <w:rPr>
          <w:b/>
        </w:rPr>
        <w:t xml:space="preserve">Condiciones  </w:t>
      </w:r>
      <w:r>
        <w:t>Distinguir programación anunciada de realización y ventas efectivas. Medir demanda y permisos del evento concreto.</w:t>
      </w:r>
    </w:p>
    <w:p>
      <w:pPr>
        <w:pStyle w:val="SourceNote"/>
      </w:pPr>
      <w:r>
        <w:rPr>
          <w:b/>
        </w:rPr>
        <w:t xml:space="preserve">Fuentes  </w:t>
      </w:r>
      <w:hyperlink w:anchor="s_TS012">
        <w:r>
          <w:rPr>
            <w:color w:val="245C88"/>
            <w:u w:val="single"/>
          </w:rPr>
          <w:t>TS012</w:t>
        </w:r>
      </w:hyperlink>
      <w:r>
        <w:t xml:space="preserve">  ·  IDL 28/09/2026, programación de los Días de los Pueblos</w:t>
      </w:r>
      <w:r>
        <w:t xml:space="preserve">  ·  Período: Anuncio 28/09/2026; programación 02/10–31/10/2026</w:t>
      </w:r>
    </w:p>
    <w:p>
      <w:bookmarkStart w:id="97" w:name="r_TS_022"/>
      <w:pPr>
        <w:pStyle w:val="Heading2"/>
      </w:pPr>
      <w:r>
        <w:t>Minas 15 ecopuntos en funcionamiento y ampliación prevista a 60</w:t>
      </w:r>
      <w:bookmarkEnd w:id="97"/>
    </w:p>
    <w:p>
      <w:pPr>
        <w:pStyle w:val="RecordMeta"/>
      </w:pPr>
      <w:r>
        <w:t>TS-022  ·  Hecho con aplicación o inferencia  ·  Z1</w:t>
      </w:r>
    </w:p>
    <w:p>
      <w:r>
        <w:t>El Ministerio de Ambiente informó el 23 de septiembre de 2026 la puesta en funcionamiento de los primeros 15 ecopuntos del Plan VALE en Minas, dentro de un total previsto de 60. Los puntos iniciales incluyen plazas Libertad y Rivera, UTEC, UTU Central, centros educativos y sectores céntricos y de la rambla. El sistema busca clasificación en origen y recuperación de materiales mediante cooperación entre Ambiente, IDL y Plan VALE, con participación del financiamiento privado. La cifra de 60 corresponde a despliegue previsto, no a infraestructura confirmada como instalada en esa fecha. Para empresas de servicios, pueden evaluarse soluciones de separación, mantenimiento, trazabilidad y logística articuladas con el sistema existente. La oportunidad exige acuerdos, materiales aceptados y volúmenes comprobados; los recipientes públicos no constituyen libre disponibilidad de insumos ni un contrato de recolección. [TS013]</w:t>
      </w:r>
    </w:p>
    <w:p>
      <w:pPr>
        <w:pStyle w:val="RecordConditions"/>
      </w:pPr>
      <w:r>
        <w:rPr>
          <w:b/>
        </w:rPr>
        <w:t xml:space="preserve">Condiciones  </w:t>
      </w:r>
      <w:r>
        <w:t>15 confirmados en la fuente; 60 previstos. Verificar titularidad, rutas y destino autorizado de los materiales.</w:t>
      </w:r>
    </w:p>
    <w:p>
      <w:pPr>
        <w:pStyle w:val="SourceNote"/>
      </w:pPr>
      <w:r>
        <w:rPr>
          <w:b/>
        </w:rPr>
        <w:t xml:space="preserve">Fuentes  </w:t>
      </w:r>
      <w:hyperlink w:anchor="s_TS013">
        <w:r>
          <w:rPr>
            <w:color w:val="245C88"/>
            <w:u w:val="single"/>
          </w:rPr>
          <w:t>TS013</w:t>
        </w:r>
      </w:hyperlink>
      <w:r>
        <w:t xml:space="preserve">  ·  Ministerio de Ambiente, noticia 23/09/2026</w:t>
      </w:r>
      <w:r>
        <w:t xml:space="preserve">  ·  Período: Estado informado 23/09/2026; consulta 19/10/2026</w:t>
      </w:r>
    </w:p>
    <w:p>
      <w:bookmarkStart w:id="98" w:name="r_TS_023"/>
      <w:pPr>
        <w:pStyle w:val="Heading2"/>
      </w:pPr>
      <w:r>
        <w:t>Lavalleja clasificación de residuos y futura infraestructura de valorización</w:t>
      </w:r>
      <w:bookmarkEnd w:id="98"/>
    </w:p>
    <w:p>
      <w:pPr>
        <w:pStyle w:val="RecordMeta"/>
      </w:pPr>
      <w:r>
        <w:t>TS-023  ·  Hecho con aplicación o inferencia  ·  Z1</w:t>
      </w:r>
    </w:p>
    <w:p>
      <w:r>
        <w:t>El 6 de mayo de 2026 IDL describió un proceso gradual de gestión integral de residuos: convenio con Plan VALE, acompañamiento para formalizar a cuatro clasificadores, acondicionamiento de un galpón y preparación de condiciones para una futura planta de clasificación. La comunicación distingue ese espacio provisorio de la planta futura y documenta acciones hacia un vertedero controlado. No acredita una planta nueva terminada ni capacidad industrial disponible para recibir cualquier residuo. La oportunidad empresarial inferida se concentra en equipamiento, mantenimiento, separación en establecimientos, capacitación y servicios contratados de recuperación. Antes de invertir deben validarse composición y volumen de residuos, operadores habilitados, mercado comprador, costos de transporte y condiciones laborales. Los avances de gestión no deben convertirse en promesa de suministro gratuito o autorización genérica para tratar residuos. [TS014]</w:t>
      </w:r>
    </w:p>
    <w:p>
      <w:pPr>
        <w:pStyle w:val="RecordConditions"/>
      </w:pPr>
      <w:r>
        <w:rPr>
          <w:b/>
        </w:rPr>
        <w:t xml:space="preserve">Condiciones  </w:t>
      </w:r>
      <w:r>
        <w:t>Distinguir galpón provisorio, planta prevista y planta efectivamente operativa. Acreditar autorizaciones según tipo de residuo y tratamiento.</w:t>
      </w:r>
    </w:p>
    <w:p>
      <w:pPr>
        <w:pStyle w:val="SourceNote"/>
      </w:pPr>
      <w:r>
        <w:rPr>
          <w:b/>
        </w:rPr>
        <w:t xml:space="preserve">Fuentes  </w:t>
      </w:r>
      <w:hyperlink w:anchor="s_TS014">
        <w:r>
          <w:rPr>
            <w:color w:val="245C88"/>
            <w:u w:val="single"/>
          </w:rPr>
          <w:t>TS014</w:t>
        </w:r>
      </w:hyperlink>
      <w:r>
        <w:t xml:space="preserve">  ·  IDL, noticia 06/05/2026, clasificación, formalización e infraestructura</w:t>
      </w:r>
      <w:r>
        <w:t xml:space="preserve">  ·  Período: Estado informado 06/05/2026; no se acredita planta finalizada al corte</w:t>
      </w:r>
    </w:p>
    <w:p>
      <w:bookmarkStart w:id="99" w:name="r_TS_024"/>
      <w:pPr>
        <w:pStyle w:val="Heading2"/>
      </w:pPr>
      <w:r>
        <w:t>Minas reutilización de inmuebles vacíos y economía circular urbana</w:t>
      </w:r>
      <w:bookmarkEnd w:id="99"/>
    </w:p>
    <w:p>
      <w:pPr>
        <w:pStyle w:val="RecordMeta"/>
      </w:pPr>
      <w:r>
        <w:t>TS-024  ·  Hecho con aplicación o inferencia  ·  Z1</w:t>
      </w:r>
    </w:p>
    <w:p>
      <w:r>
        <w:t>El MVOT anunció el 26 de marzo de 2026 un Laboratorio de Economía Circular Urbana con primera aplicación en Minas y Paso de los Toros. Su objetivo es estudiar herramientas para reactivar inmuebles vacíos y degradados y afrontar el vaciamiento de centros urbanos. Este antecedente abre una línea de trabajo a evaluar en rehabilitación, adaptación de inmuebles y servicios técnicos, que podría atender vivienda, comercio o actividades compatibles con cada local. El anuncio no ofrece una cartera de propiedades adjudicables, no confirma incentivos específicos ni autoriza cambiar usos. Una inversión requiere identificar titularidad, estado estructural, costos, protección patrimonial y permisos del inmueble. Es preferible contrastar el proyecto con la política urbana y demanda concreta antes de atribuir al laboratorio una ventaja económica. La inclusión de Minas es un hecho documentado; la oportunidad privada y su rentabilidad son hipótesis. [TS015]</w:t>
      </w:r>
    </w:p>
    <w:p>
      <w:pPr>
        <w:pStyle w:val="RecordConditions"/>
      </w:pPr>
      <w:r>
        <w:rPr>
          <w:b/>
        </w:rPr>
        <w:t xml:space="preserve">Condiciones  </w:t>
      </w:r>
      <w:r>
        <w:t>No inferir disponibilidad de inmuebles públicos o financiación a partir del anuncio. Comprobar patrimonio, estado constructivo y uso autorizado.</w:t>
      </w:r>
    </w:p>
    <w:p>
      <w:pPr>
        <w:pStyle w:val="SourceNote"/>
      </w:pPr>
      <w:r>
        <w:rPr>
          <w:b/>
        </w:rPr>
        <w:t xml:space="preserve">Fuentes  </w:t>
      </w:r>
      <w:hyperlink w:anchor="s_TS015">
        <w:r>
          <w:rPr>
            <w:color w:val="245C88"/>
            <w:u w:val="single"/>
          </w:rPr>
          <w:t>TS015</w:t>
        </w:r>
      </w:hyperlink>
      <w:r>
        <w:t xml:space="preserve">  ·  MVOT-DINOT, noticia 26/03/2026, Laboratorio de Economía Circular Urbana</w:t>
      </w:r>
      <w:r>
        <w:t xml:space="preserve">  ·  Período: Anuncio 26/03/2026</w:t>
      </w:r>
    </w:p>
    <w:p>
      <w:bookmarkStart w:id="100" w:name="r_TS_025"/>
      <w:pPr>
        <w:pStyle w:val="Heading2"/>
      </w:pPr>
      <w:r>
        <w:t>Plan Local de Minas el avance de 2024 no debe presentarse como norma aprobada</w:t>
      </w:r>
      <w:bookmarkEnd w:id="100"/>
    </w:p>
    <w:p>
      <w:pPr>
        <w:pStyle w:val="RecordMeta"/>
      </w:pPr>
      <w:r>
        <w:t>TS-025  ·  Hecho o requisito documentado  ·  Z1</w:t>
      </w:r>
    </w:p>
    <w:p>
      <w:r>
        <w:t>La Resolución 4018/024 dispuso la puesta de manifiesto del avance del Plan Local de Minas y documentos asociados durante 30 días. Esa publicación constituye una etapa de elaboración y consulta, no por sí misma la aprobación del instrumento. En julio de 2026 el MVOT informó un convenio con Lavalleja para continuar el Plan Local de Minas y elaborar un inventario arquitectónico y urbanístico de la ciudad y su entorno. En las fuentes consultadas para esta ampliación no se localizó una aprobación definitiva posterior. Por ello, las propuestas, mapas o parámetros del avance no deben responderse como reglas vigentes de un padrón. Para rehabilitación, nueva construcción, logística o servicios en Minas, corresponde pedir a IDL el encuadre vigente y consultar además la situación patrimonial del inmueble; el plan en elaboración aporta contexto prospectivo. [TS016, TS017]</w:t>
      </w:r>
    </w:p>
    <w:p>
      <w:pPr>
        <w:pStyle w:val="RecordConditions"/>
      </w:pPr>
      <w:r>
        <w:rPr>
          <w:b/>
        </w:rPr>
        <w:t xml:space="preserve">Condiciones  </w:t>
      </w:r>
      <w:r>
        <w:t>Ausencia de aprobación localizada no sustituye certificado o consulta territorial de IDL. Distinguir propuesta, puesta de manifiesto y decreto aprobado.</w:t>
      </w:r>
    </w:p>
    <w:p>
      <w:pPr>
        <w:pStyle w:val="SourceNote"/>
      </w:pPr>
      <w:r>
        <w:rPr>
          <w:b/>
        </w:rPr>
        <w:t xml:space="preserve">Fuentes  </w:t>
      </w:r>
      <w:hyperlink w:anchor="s_TS016">
        <w:r>
          <w:rPr>
            <w:color w:val="245C88"/>
            <w:u w:val="single"/>
          </w:rPr>
          <w:t>TS016</w:t>
        </w:r>
      </w:hyperlink>
      <w:r>
        <w:t xml:space="preserve">, </w:t>
      </w:r>
      <w:hyperlink w:anchor="s_TS017">
        <w:r>
          <w:rPr>
            <w:color w:val="245C88"/>
            <w:u w:val="single"/>
          </w:rPr>
          <w:t>TS017</w:t>
        </w:r>
      </w:hyperlink>
      <w:r>
        <w:t xml:space="preserve">  ·  Resolución 4018/024; convenio MVOT-Intendencias julio 2026</w:t>
      </w:r>
      <w:r>
        <w:t xml:space="preserve">  ·  Período: Avance 2024; continuación documentada julio de 2026</w:t>
      </w:r>
    </w:p>
    <w:p>
      <w:bookmarkStart w:id="101" w:name="r_TS_026"/>
      <w:pPr>
        <w:pStyle w:val="Heading2"/>
      </w:pPr>
      <w:r>
        <w:t>Villa Serrana piloto de monitoreo territorial con imágenes aéreas</w:t>
      </w:r>
      <w:bookmarkEnd w:id="101"/>
    </w:p>
    <w:p>
      <w:pPr>
        <w:pStyle w:val="RecordMeta"/>
      </w:pPr>
      <w:r>
        <w:t>TS-026  ·  Hecho con aplicación o inferencia  ·  Z3</w:t>
      </w:r>
    </w:p>
    <w:p>
      <w:r>
        <w:t>El MVOT anunció el 26 de marzo de 2026 una herramienta piloto de supervisión territorial mediante imágenes aéreas, drones e inteligencia artificial, con primeras aplicaciones en Villa Serrana y el área rural de Canelones. La finalidad publicada incluye identificar cambios de uso del suelo, construcciones de dimensiones no previstas, explotación minera y nuevos espejos de agua. El piloto es una capacidad pública de seguimiento anunciada; no crea por sí mismo una nueva categoría de suelo ni sustituye el articulado del Plan Local de Villa Serrana. Como línea de servicios a evaluar, refuerza la utilidad de relevamientos, topografía, regularización y documentación ambiental para propietarios y proyectos. Esa inferencia no acredita una contratación abierta a proveedores ni disponibilidad de imágenes para uso comercial: acceso a datos y encargos requiere confirmación expresa. [TS015, TS001]</w:t>
      </w:r>
    </w:p>
    <w:p>
      <w:pPr>
        <w:pStyle w:val="RecordConditions"/>
      </w:pPr>
      <w:r>
        <w:rPr>
          <w:b/>
        </w:rPr>
        <w:t xml:space="preserve">Condiciones  </w:t>
      </w:r>
      <w:r>
        <w:t>No presentar el anuncio como licitación o contrato disponible. Verificar permisos de relevamiento, uso de datos y requisitos profesionales.</w:t>
      </w:r>
    </w:p>
    <w:p>
      <w:pPr>
        <w:pStyle w:val="SourceNote"/>
      </w:pPr>
      <w:r>
        <w:rPr>
          <w:b/>
        </w:rPr>
        <w:t xml:space="preserve">Fuentes  </w:t>
      </w:r>
      <w:hyperlink w:anchor="s_TS015">
        <w:r>
          <w:rPr>
            <w:color w:val="245C88"/>
            <w:u w:val="single"/>
          </w:rPr>
          <w:t>TS015</w:t>
        </w:r>
      </w:hyperlink>
      <w:r>
        <w:t xml:space="preserve">, </w:t>
      </w:r>
      <w:hyperlink w:anchor="s_TS001">
        <w:r>
          <w:rPr>
            <w:color w:val="245C88"/>
            <w:u w:val="single"/>
          </w:rPr>
          <w:t>TS001</w:t>
        </w:r>
      </w:hyperlink>
      <w:r>
        <w:t xml:space="preserve">  ·  MVOT-DINOT 26/03/2026, policía territorial piloto; Decreto 3701/2021</w:t>
      </w:r>
      <w:r>
        <w:t xml:space="preserve">  ·  Período: Piloto anunciado 26/03/2026</w:t>
      </w:r>
    </w:p>
    <w:p>
      <w:bookmarkStart w:id="102" w:name="r_TS_027"/>
      <w:pPr>
        <w:pStyle w:val="Heading2"/>
      </w:pPr>
      <w:r>
        <w:t>Ferrocarril a Minas infraestructura inventariada con restricciones documentadas</w:t>
      </w:r>
      <w:bookmarkEnd w:id="102"/>
    </w:p>
    <w:p>
      <w:pPr>
        <w:pStyle w:val="RecordMeta"/>
      </w:pPr>
      <w:r>
        <w:t>TS-027  ·  Hecho o requisito documentado  ·  Z1</w:t>
      </w:r>
    </w:p>
    <w:p>
      <w:r>
        <w:t>La Declaración de Red Ferroviaria 2025 del MTOP incluye la línea Sayago–Minas entre las líneas activas de su inventario y detalla estaciones y características de infraestructura. Sin embargo, su anexo de limitaciones consigna una clausura entre los kilómetros 10,060 y 10,130 de la línea Minas, vinculada a condiciones de plataforma y vía. La coexistencia de ambas informaciones impide convertir la etiqueta del mapa en disponibilidad comercial irrestricta. Esta fuente es una fotografía de 2025; no confirma que la restricción permanezca o haya sido resuelta en octubre de 2026. Un inversor industrial o logístico en Minas debe solicitar al MTOP y al operador evidencia actual del itinerario, acceso al predio, tonelaje, material rodante, tarifa y servicio contratado antes de utilizar el ferrocarril como supuesto del flujo de caja. [TS018]</w:t>
      </w:r>
    </w:p>
    <w:p>
      <w:pPr>
        <w:pStyle w:val="RecordConditions"/>
      </w:pPr>
      <w:r>
        <w:rPr>
          <w:b/>
        </w:rPr>
        <w:t xml:space="preserve">Condiciones  </w:t>
      </w:r>
      <w:r>
        <w:t>No afirmar servicio ferroviario 2026 operativo sin confirmación actual. Una estación o traza no acredita desvío, carga disponible o frecuencia.</w:t>
      </w:r>
    </w:p>
    <w:p>
      <w:pPr>
        <w:pStyle w:val="SourceNote"/>
      </w:pPr>
      <w:r>
        <w:rPr>
          <w:b/>
        </w:rPr>
        <w:t xml:space="preserve">Fuentes  </w:t>
      </w:r>
      <w:hyperlink w:anchor="s_TS018">
        <w:r>
          <w:rPr>
            <w:color w:val="245C88"/>
            <w:u w:val="single"/>
          </w:rPr>
          <w:t>TS018</w:t>
        </w:r>
      </w:hyperlink>
      <w:r>
        <w:t xml:space="preserve">  ·  Declaración de Red 2025, tabla 2, anexos 3 y 4</w:t>
      </w:r>
      <w:r>
        <w:t xml:space="preserve">  ·  Período: Inventario de infraestructura y restricciones 2025; no actualización operacional 2026 verificada</w:t>
      </w:r>
    </w:p>
    <w:p>
      <w:bookmarkStart w:id="103" w:name="r_TS_028"/>
      <w:pPr>
        <w:pStyle w:val="Heading2"/>
      </w:pPr>
      <w:r>
        <w:t>Norte de Lavalleja estaciones del corredor ferroviario hacia Río Branco</w:t>
      </w:r>
      <w:bookmarkEnd w:id="103"/>
    </w:p>
    <w:p>
      <w:pPr>
        <w:pStyle w:val="RecordMeta"/>
      </w:pPr>
      <w:r>
        <w:t>TS-028  ·  Hecho con aplicación o inferencia  ·  Z5, Z6</w:t>
      </w:r>
    </w:p>
    <w:p>
      <w:r>
        <w:t>El anexo de estaciones de la Declaración de Red Ferroviaria 2025 del MTOP identifica en el corredor a Río Branco las referencias Illescas, Nico Pérez, Zapicán, Retamosa y José Pedro Varela, entre otras. Constituye una base oficial para estudiar la relación de José Batlle y Ordóñez–Zapicán y Varela con la infraestructura del corredor. Los nombres ferroviarios deben verificarse geográficamente: Nico Pérez no debe sustituirse sin aclaración por el nombre de un predio o municipio, y una estación inventariada no es una terminal de carga ofrecida al inversor. La oportunidad de acopio, transferencia o servicios asociados requiere confirmar estado del ramal, acceso, instalaciones de carga, continuidad del recorrido y un operador dispuesto a prestar servicio. No se verificaron en esta investigación frecuencias, cupos ni costos comerciales actuales para esos puntos. [TS018]</w:t>
      </w:r>
    </w:p>
    <w:p>
      <w:pPr>
        <w:pStyle w:val="RecordConditions"/>
      </w:pPr>
      <w:r>
        <w:rPr>
          <w:b/>
        </w:rPr>
        <w:t xml:space="preserve">Condiciones  </w:t>
      </w:r>
      <w:r>
        <w:t>No equiparar inventario ferroviario con oferta operativa 2026. Confirmar ubicación de estación, predio y acceso vial.</w:t>
      </w:r>
    </w:p>
    <w:p>
      <w:pPr>
        <w:pStyle w:val="SourceNote"/>
      </w:pPr>
      <w:r>
        <w:rPr>
          <w:b/>
        </w:rPr>
        <w:t xml:space="preserve">Fuentes  </w:t>
      </w:r>
      <w:hyperlink w:anchor="s_TS018">
        <w:r>
          <w:rPr>
            <w:color w:val="245C88"/>
            <w:u w:val="single"/>
          </w:rPr>
          <w:t>TS018</w:t>
        </w:r>
      </w:hyperlink>
      <w:r>
        <w:t xml:space="preserve">  ·  Declaración de Red 2025, anexo 3, estaciones del corredor Río Branco</w:t>
      </w:r>
      <w:r>
        <w:t xml:space="preserve">  ·  Período: Inventario ferroviario 2025</w:t>
      </w:r>
    </w:p>
    <w:p>
      <w:bookmarkStart w:id="104" w:name="r_TS_029"/>
      <w:pPr>
        <w:pStyle w:val="Heading2"/>
      </w:pPr>
      <w:r>
        <w:t>Ruta 14 y Circuito 5 evaluar logística transversal sin sobreafirmar obras</w:t>
      </w:r>
      <w:bookmarkEnd w:id="104"/>
    </w:p>
    <w:p>
      <w:pPr>
        <w:pStyle w:val="RecordMeta"/>
      </w:pPr>
      <w:r>
        <w:t>TS-029  ·  Hecho con aplicación o inferencia  ·  Z5, Z6</w:t>
      </w:r>
    </w:p>
    <w:p>
      <w:r>
        <w:t>El comunicado del MTOP del 6 de noviembre de 2024 anunció la inauguración de 40 kilómetros de Ruta 15 para el día siguiente e indicó que ese tramo completaba los siete previstos del Circuito 5. El contrato abarcaba 183,75 kilómetros de rutas 14 y 15 en Florida, Lavalleja y Rocha; su recorrido por Ruta 14 pasa cerca de José Batlle y Ordóñez–Nico Pérez, Zapicán y José Pedro Varela. Este antecedente aporta una base para estudiar mantenimiento de flotas, servicios a transportistas y distribución regional. Tales oportunidades son hipótesis que necesitan tránsito y clientes comprobados. La obra documentada no equivale a una verificación del estado de cada tramo en 2026 ni comprende toda la Ruta 14 nacional. Antes de elegir terreno deben verificarse acceso autorizado, restricciones de carga y tiempos efectivos de transporte. [TS019]</w:t>
      </w:r>
    </w:p>
    <w:p>
      <w:pPr>
        <w:pStyle w:val="RecordConditions"/>
      </w:pPr>
      <w:r>
        <w:rPr>
          <w:b/>
        </w:rPr>
        <w:t xml:space="preserve">Condiciones  </w:t>
      </w:r>
      <w:r>
        <w:t>El contrato del Circuito 5 no comprende toda la Ruta 14 nacional. Verificar condiciones del tramo y acceso al padrón en la fecha de inversión.</w:t>
      </w:r>
    </w:p>
    <w:p>
      <w:pPr>
        <w:pStyle w:val="SourceNote"/>
      </w:pPr>
      <w:r>
        <w:rPr>
          <w:b/>
        </w:rPr>
        <w:t xml:space="preserve">Fuentes  </w:t>
      </w:r>
      <w:hyperlink w:anchor="s_TS019">
        <w:r>
          <w:rPr>
            <w:color w:val="245C88"/>
            <w:u w:val="single"/>
          </w:rPr>
          <w:t>TS019</w:t>
        </w:r>
      </w:hyperlink>
      <w:r>
        <w:t xml:space="preserve">  ·  MTOP, Inauguración de 40 kilómetros de Ruta 15 en Rocha, descripción del Circuito 5</w:t>
      </w:r>
      <w:r>
        <w:t xml:space="preserve">  ·  Período: Comunicación de obra 2024; no certifica condiciones de toda la red en 2026</w:t>
      </w:r>
    </w:p>
    <w:p>
      <w:bookmarkStart w:id="105" w:name="r_TS_030"/>
      <w:pPr>
        <w:pStyle w:val="Heading2"/>
      </w:pPr>
      <w:r>
        <w:t>Cuidados y envejecimiento dato demográfico y estudio de mercado local</w:t>
      </w:r>
      <w:bookmarkEnd w:id="105"/>
    </w:p>
    <w:p>
      <w:pPr>
        <w:pStyle w:val="RecordMeta"/>
      </w:pPr>
      <w:r>
        <w:t>TS-030  ·  Hecho con aplicación o inferencia  ·  Z1, Z2, Z3, Z4, Z5, Z6, Z7</w:t>
      </w:r>
    </w:p>
    <w:p>
      <w:r>
        <w:t>El Informe Departamental Lavalleja 2026 de Uruguay XXI presenta una población de 58.407 habitantes para 2025 y una participación de 19% de personas de 65 años o más, con fuente INE. Es un fundamento para investigar servicios de cuidados, asistencia y adaptación de viviendas; no mide por sí solo dependencia, capacidad de pago ni camas faltantes. Una oportunidad empresarial debe separar cuidados domiciliarios, atención diurna, residencia de larga estadía y prestaciones sanitarias, porque no comparten necesariamente requisitos, personal ni costos. Minas puede estudiarse como base urbana de operación y las demás localidades como ámbitos que requieren comprobar transporte y cobertura efectiva. La localización comercial es una hipótesis de trabajo: el dato departamental no demuestra déficit en una ciudad concreta. Se requiere relevamiento de oferta habilitada, demanda, precios y acceso a personal antes de estimar viabilidad. [TS020]</w:t>
      </w:r>
    </w:p>
    <w:p>
      <w:pPr>
        <w:pStyle w:val="RecordConditions"/>
      </w:pPr>
      <w:r>
        <w:rPr>
          <w:b/>
        </w:rPr>
        <w:t xml:space="preserve">Condiciones  </w:t>
      </w:r>
      <w:r>
        <w:t>19% mide edad, no dependencia ni demanda solvente. No afirmar ausencia de centros o servicios sin inventario actualizado.</w:t>
      </w:r>
    </w:p>
    <w:p>
      <w:pPr>
        <w:pStyle w:val="SourceNote"/>
      </w:pPr>
      <w:r>
        <w:rPr>
          <w:b/>
        </w:rPr>
        <w:t xml:space="preserve">Fuentes  </w:t>
      </w:r>
      <w:hyperlink w:anchor="s_TS020">
        <w:r>
          <w:rPr>
            <w:color w:val="245C88"/>
            <w:u w:val="single"/>
          </w:rPr>
          <w:t>TS020</w:t>
        </w:r>
      </w:hyperlink>
      <w:r>
        <w:t xml:space="preserve">  ·  Uruguay XXI 2026, Lavalleja en cifras, datos poblacionales INE 2025</w:t>
      </w:r>
      <w:r>
        <w:t xml:space="preserve">  ·  Período: Informe 2026; población proyectada 2025 y distribución etaria publicada</w:t>
      </w:r>
    </w:p>
    <w:p>
      <w:bookmarkStart w:id="106" w:name="r_TS_031"/>
      <w:pPr>
        <w:pStyle w:val="Heading2"/>
      </w:pPr>
      <w:r>
        <w:t>Residencias para personas mayores habilitación ELEPEM MSP y MIDES</w:t>
      </w:r>
      <w:bookmarkEnd w:id="106"/>
    </w:p>
    <w:p>
      <w:pPr>
        <w:pStyle w:val="RecordMeta"/>
      </w:pPr>
      <w:r>
        <w:t>TS-031  ·  Hecho o requisito documentado  ·  Z1, Z2, Z3, Z4, Z5, Z6, Z7</w:t>
      </w:r>
    </w:p>
    <w:p>
      <w:r>
        <w:t>Un establecimiento de larga estadía para personas mayores debe tramitar habilitación como ELEPEM según el procedimiento del MSP, que remite a la Ley 17.066, artículo 518 de la Ley 19.355, Decreto 356/016 y Ordenanza 483/017. Se solicita documentación de planta física, personal y dirección técnica. La secuencia publicada distingue el certificado de registro emitido por MSP, el envío de documentación a MIDES para el certificado social y la continuación de la habilitación. Incluye certificación aprobada de Bomberos y declaración de arquitecto sobre la planta; también formularios de consentimiento e información de residentes. Obtener registro no equivale a completar todas las etapas. Para un proyecto en Lavalleja conviene analizar el inmueble y modelo de atención con la Dirección Departamental de Salud antes de comprar o remodelar, incorporando las exigencias de personal y accesibilidad al presupuesto. [TS021]</w:t>
      </w:r>
    </w:p>
    <w:p>
      <w:pPr>
        <w:pStyle w:val="RecordConditions"/>
      </w:pPr>
      <w:r>
        <w:rPr>
          <w:b/>
        </w:rPr>
        <w:t xml:space="preserve">Condiciones  </w:t>
      </w:r>
      <w:r>
        <w:t>Distinguir registro, certificado social y habilitación final. No tratar una residencia asistida como alojamiento turístico por su forma edilicia.</w:t>
      </w:r>
    </w:p>
    <w:p>
      <w:pPr>
        <w:pStyle w:val="SourceNote"/>
      </w:pPr>
      <w:r>
        <w:rPr>
          <w:b/>
        </w:rPr>
        <w:t xml:space="preserve">Fuentes  </w:t>
      </w:r>
      <w:hyperlink w:anchor="s_TS021">
        <w:r>
          <w:rPr>
            <w:color w:val="245C88"/>
            <w:u w:val="single"/>
          </w:rPr>
          <w:t>TS021</w:t>
        </w:r>
      </w:hyperlink>
      <w:r>
        <w:t xml:space="preserve">  ·  MSP, trámite ELEPEM, requisitos y secuencia</w:t>
      </w:r>
      <w:r>
        <w:t xml:space="preserve">  ·  Período: Procedimiento actualizado 15/08/2024; consulta 19/10/2026</w:t>
      </w:r>
    </w:p>
    <w:p>
      <w:bookmarkStart w:id="107" w:name="r_TS_032"/>
      <w:pPr>
        <w:pStyle w:val="Heading2"/>
      </w:pPr>
      <w:r>
        <w:t>Clínicas y servicios sanitarios evaluación de pertinencia antes de habilitar</w:t>
      </w:r>
      <w:bookmarkEnd w:id="107"/>
    </w:p>
    <w:p>
      <w:pPr>
        <w:pStyle w:val="RecordMeta"/>
      </w:pPr>
      <w:r>
        <w:t>TS-032  ·  Hecho o requisito documentado  ·  Z1, Z2, Z3, Z4, Z5, Z6, Z7</w:t>
      </w:r>
    </w:p>
    <w:p>
      <w:r>
        <w:t>El trámite MSP para habilitar, modificar o renovar servicios de salud exige una solicitud suscrita por representación legal y dirección técnica y evaluación de pertinencia según el servicio. Tras la aprobación de esa etapa, se requiere documentación específica, incluidos formularios, control notarial, memoria y planos firmados por arquitecto y documentación de Bomberos en los términos del procedimiento. Para prestadores del interior, la entrada se realiza a través de la Dirección Departamental de Salud correspondiente. El portal diferencia servicios ambulatorios, rehabilitación, laboratorio, enfermería privada, internación domiciliaria y traslados, entre otros: no existe una habilitación comercial indiferenciada para toda prestación. Una inversión en Minas u otra localidad debe definir cartera, equipo profesional y demanda, y contrastar su encuadre antes de ejecutar obra o adquirir equipamiento. La presencia de población mayor no acredita automáticamente pertinencia sanitaria. [TS022]</w:t>
      </w:r>
    </w:p>
    <w:p>
      <w:pPr>
        <w:pStyle w:val="RecordConditions"/>
      </w:pPr>
      <w:r>
        <w:rPr>
          <w:b/>
        </w:rPr>
        <w:t xml:space="preserve">Condiciones  </w:t>
      </w:r>
      <w:r>
        <w:t>Confirmar lista de pertinencia y formulario del servicio concreto. No confundir aprobación de pertinencia con habilitación de funcionamiento.</w:t>
      </w:r>
    </w:p>
    <w:p>
      <w:pPr>
        <w:pStyle w:val="SourceNote"/>
      </w:pPr>
      <w:r>
        <w:rPr>
          <w:b/>
        </w:rPr>
        <w:t xml:space="preserve">Fuentes  </w:t>
      </w:r>
      <w:hyperlink w:anchor="s_TS022">
        <w:r>
          <w:rPr>
            <w:color w:val="245C88"/>
            <w:u w:val="single"/>
          </w:rPr>
          <w:t>TS022</w:t>
        </w:r>
      </w:hyperlink>
      <w:r>
        <w:t xml:space="preserve">  ·  MSP, trámite servicios de salud, requisitos y cómo se hace</w:t>
      </w:r>
      <w:r>
        <w:t xml:space="preserve">  ·  Período: Procedimiento actualizado 02/09/2025; consulta 19/10/2026</w:t>
      </w:r>
    </w:p>
    <w:p>
      <w:bookmarkStart w:id="108" w:name="r_TS_033"/>
      <w:pPr>
        <w:pStyle w:val="Heading2"/>
      </w:pPr>
      <w:r>
        <w:t>Soporte técnico de equipos médicos servicio especializado con alcance habilitado</w:t>
      </w:r>
      <w:bookmarkEnd w:id="108"/>
    </w:p>
    <w:p>
      <w:pPr>
        <w:pStyle w:val="RecordMeta"/>
      </w:pPr>
      <w:r>
        <w:t>TS-033  ·  Hecho con aplicación o inferencia  ·  Z1</w:t>
      </w:r>
    </w:p>
    <w:p>
      <w:r>
        <w:t>El MSP exige habilitación a las empresas que brindan servicio técnico de equipos médicos a terceros. El certificado delimita equipos y modelos admitidos; cuando la empresa sólo atiende productos de otra empresa habilitada, esa vinculación se refleja en el certificado. El procedimiento solicita representación legal, dirección técnica y título correspondiente, documentación empresarial, planos del establecimiento y descripción de procesos, entre otros requisitos. Para Lavalleja puede investigarse una base de mantenimiento y soporte que atienda instituciones regionales, pero la existencia del trámite no demuestra demanda local insatisfecha. La viabilidad requiere contratos o cartera verificable, especialidades técnicas, repuestos, tiempos de respuesta y desplazamientos. No debe confundirse capacitación general en tecnología con habilitación para intervenir cualquier equipo sanitario: el alcance autorizado y los recursos reales determinan los servicios que se pueden ofrecer. [TS023]</w:t>
      </w:r>
    </w:p>
    <w:p>
      <w:pPr>
        <w:pStyle w:val="RecordConditions"/>
      </w:pPr>
      <w:r>
        <w:rPr>
          <w:b/>
        </w:rPr>
        <w:t xml:space="preserve">Condiciones  </w:t>
      </w:r>
      <w:r>
        <w:t>Comprobar equipos y modelos incluidos en el certificado. La oportunidad regional es inferencia y requiere validación comercial.</w:t>
      </w:r>
    </w:p>
    <w:p>
      <w:pPr>
        <w:pStyle w:val="SourceNote"/>
      </w:pPr>
      <w:r>
        <w:rPr>
          <w:b/>
        </w:rPr>
        <w:t xml:space="preserve">Fuentes  </w:t>
      </w:r>
      <w:hyperlink w:anchor="s_TS023">
        <w:r>
          <w:rPr>
            <w:color w:val="245C88"/>
            <w:u w:val="single"/>
          </w:rPr>
          <w:t>TS023</w:t>
        </w:r>
      </w:hyperlink>
      <w:r>
        <w:t xml:space="preserve">  ·  MSP, trámite servicios técnicos de equipos médicos, alcance y requisitos</w:t>
      </w:r>
      <w:r>
        <w:t xml:space="preserve">  ·  Período: Procedimiento actualizado 19/08/2025; consulta 19/10/2026</w:t>
      </w:r>
    </w:p>
    <w:p>
      <w:bookmarkStart w:id="109" w:name="transversal"/>
      <w:pPr>
        <w:pStyle w:val="Heading1"/>
      </w:pPr>
      <w:r>
        <w:t>6 Agua industria y nuevas actividades</w:t>
      </w:r>
      <w:bookmarkEnd w:id="109"/>
    </w:p>
    <w:p>
      <w:pPr>
        <w:pStyle w:val="RecordMeta"/>
      </w:pPr>
      <w:r>
        <w:t>25 fichas autónomas con condiciones y fuentes. La fecha de corte del complemento es el 19 de octubre de 2026; cada antecedente conserva su período propio.</w:t>
      </w:r>
    </w:p>
    <w:p>
      <w:bookmarkStart w:id="110" w:name="r_TR_001"/>
      <w:pPr>
        <w:pStyle w:val="Heading2"/>
      </w:pPr>
      <w:r>
        <w:t>Derechos de uso de agua para invertir en Lavalleja</w:t>
      </w:r>
      <w:bookmarkEnd w:id="110"/>
    </w:p>
    <w:p>
      <w:pPr>
        <w:pStyle w:val="RecordMeta"/>
      </w:pPr>
      <w:r>
        <w:t>TR-001  ·  Hecho o requisito documentado  ·  Z1, Z2, Z3, Z4, Z5, Z6, Z7</w:t>
      </w:r>
    </w:p>
    <w:p>
      <w:r>
        <w:t>Una inversión en Lavalleja que capte agua superficial o subterránea debe determinar con DINAGUA el derecho de uso correspondiente, su caudal, destino, plazo y titular. Ser propietario del campo o encontrar un curso de agua no acredita por sí solo ese derecho. El trámite comprende solicitudes nuevas, modificaciones, renovaciones y cesiones; exige documentación técnica según la obra y, para riego agropecuario, el plan de uso de suelos y aguas que corresponda. La ficha oficial establece una declaración jurada anual de uso entre el 1 y el 31 de mayo. Antes de dimensionar arroz, horticultura, acuicultura, una planta industrial o un alojamiento, el inversor debe verificar disponibilidad hídrica y situación del permiso. La autorización de vertido y la habilitación de suelo son evaluaciones separadas.</w:t>
      </w:r>
    </w:p>
    <w:p>
      <w:pPr>
        <w:pStyle w:val="RecordConditions"/>
      </w:pPr>
      <w:r>
        <w:rPr>
          <w:b/>
        </w:rPr>
        <w:t xml:space="preserve">Condiciones  </w:t>
      </w:r>
      <w:r>
        <w:t>Los permisos pertenecen al expediente y titular autorizados; verificar cesión o modificación al adquirir una explotación. La disponibilidad depende de la fuente y cuenca; las zonas Z1 a Z7 no constituyen derechos de agua.</w:t>
      </w:r>
    </w:p>
    <w:p>
      <w:pPr>
        <w:pStyle w:val="SourceNote"/>
      </w:pPr>
      <w:r>
        <w:rPr>
          <w:b/>
        </w:rPr>
        <w:t xml:space="preserve">Fuentes  </w:t>
      </w:r>
      <w:hyperlink w:anchor="s_TR001">
        <w:r>
          <w:rPr>
            <w:color w:val="245C88"/>
            <w:u w:val="single"/>
          </w:rPr>
          <w:t>TR001</w:t>
        </w:r>
      </w:hyperlink>
      <w:r>
        <w:t xml:space="preserve">, </w:t>
      </w:r>
      <w:hyperlink w:anchor="s_TR002">
        <w:r>
          <w:rPr>
            <w:color w:val="245C88"/>
            <w:u w:val="single"/>
          </w:rPr>
          <w:t>TR002</w:t>
        </w:r>
      </w:hyperlink>
      <w:r>
        <w:t xml:space="preserve">  ·  TR001: Requisitos y documentación necesaria; TR002: Evaluación técnica y administrativa, exposición y audiencia</w:t>
      </w:r>
    </w:p>
    <w:p>
      <w:bookmarkStart w:id="111" w:name="r_TR_002"/>
      <w:pPr>
        <w:pStyle w:val="Heading2"/>
      </w:pPr>
      <w:r>
        <w:t>Embalses tomas y pozos que requieren evaluación ambiental previa</w:t>
      </w:r>
      <w:bookmarkEnd w:id="111"/>
    </w:p>
    <w:p>
      <w:pPr>
        <w:pStyle w:val="RecordMeta"/>
      </w:pPr>
      <w:r>
        <w:t>TR-002  ·  Hecho o requisito documentado  ·  Z1, Z2, Z3, Z4, Z5, Z6, Z7</w:t>
      </w:r>
    </w:p>
    <w:p>
      <w:r>
        <w:t>Al proyectar infraestructura de agua en Lavalleja deben separarse el derecho de uso de DINAGUA y la autorización ambiental previa del Ministerio de Ambiente. La ficha oficial de derechos de agua identifica como casos que requieren AAP previa las tomas superiores a 500 litros por segundo, los embalses que superen 100 hectáreas o 2 millones de metros cúbicos, y los pozos con extracción superior a 50 litros por segundo. Estos umbrales sirven para la consulta inicial y no son una habilitación automática de obras menores: pueden existir otras causales ambientales, restricciones de cuenca o condiciones territoriales. El caudal disponible, la seguridad de la obra y las afectaciones aguas abajo requieren estudio profesional.</w:t>
      </w:r>
    </w:p>
    <w:p>
      <w:pPr>
        <w:pStyle w:val="RecordConditions"/>
      </w:pPr>
      <w:r>
        <w:rPr>
          <w:b/>
        </w:rPr>
        <w:t xml:space="preserve">Condiciones  </w:t>
      </w:r>
      <w:r>
        <w:t>No confundir litros por segundo con metros cúbicos por día. Estar por debajo de estos umbrales no elimina el trámite del derecho de uso ni las demás autorizaciones aplicables.</w:t>
      </w:r>
    </w:p>
    <w:p>
      <w:pPr>
        <w:pStyle w:val="SourceNote"/>
      </w:pPr>
      <w:r>
        <w:rPr>
          <w:b/>
        </w:rPr>
        <w:t xml:space="preserve">Fuentes  </w:t>
      </w:r>
      <w:hyperlink w:anchor="s_TR001">
        <w:r>
          <w:rPr>
            <w:color w:val="245C88"/>
            <w:u w:val="single"/>
          </w:rPr>
          <w:t>TR001</w:t>
        </w:r>
      </w:hyperlink>
      <w:r>
        <w:t xml:space="preserve">  ·  TR001: Requisitos y documentación necesaria</w:t>
      </w:r>
    </w:p>
    <w:p>
      <w:bookmarkStart w:id="112" w:name="r_TR_003"/>
      <w:pPr>
        <w:pStyle w:val="Heading2"/>
      </w:pPr>
      <w:r>
        <w:t>Nuevo régimen de calidad de agua y vertidos</w:t>
      </w:r>
      <w:bookmarkEnd w:id="112"/>
    </w:p>
    <w:p>
      <w:pPr>
        <w:pStyle w:val="RecordMeta"/>
      </w:pPr>
      <w:r>
        <w:t>TR-003  ·  Hecho o requisito documentado  ·  Z1, Z2, Z3, Z4, Z5, Z6, Z7</w:t>
      </w:r>
    </w:p>
    <w:p>
      <w:r>
        <w:t>El Decreto 226/025 sustituyó el marco general de calidad de aguas y vertidos del Decreto 253/979, con excepciones transitorias expresas. Fue publicado el 12 de noviembre de 2025 y entró en vigor al día siguiente. Para nuevos proyectos en Lavalleja, el diseño de efluentes de industrias, tambos, establecimientos intensivos, servicios y otras actividades alcanzadas debe contrastarse con el régimen vigente y con la autorización de vertido que corresponda. Cumplir un valor máximo del efluente no permite deteriorar la calidad del cuerpo receptor: el decreto contempla condiciones adicionales según el ambiente afectado. Una ficha antigua que mencione solamente el Decreto 253/979 no alcanza para determinar el régimen de una inversión nueva.</w:t>
      </w:r>
    </w:p>
    <w:p>
      <w:pPr>
        <w:pStyle w:val="RecordConditions"/>
      </w:pPr>
      <w:r>
        <w:rPr>
          <w:b/>
        </w:rPr>
        <w:t xml:space="preserve">Condiciones  </w:t>
      </w:r>
      <w:r>
        <w:t>Aplicar el régimen que corresponda a la actividad y su expediente; no asumir que todas las descargas tienen igual exigencia. El diseño de tratamiento y el permiso de uso de agua responden a obligaciones diferentes.</w:t>
      </w:r>
    </w:p>
    <w:p>
      <w:pPr>
        <w:pStyle w:val="SourceNote"/>
      </w:pPr>
      <w:r>
        <w:rPr>
          <w:b/>
        </w:rPr>
        <w:t xml:space="preserve">Fuentes  </w:t>
      </w:r>
      <w:hyperlink w:anchor="s_TR003">
        <w:r>
          <w:rPr>
            <w:color w:val="245C88"/>
            <w:u w:val="single"/>
          </w:rPr>
          <w:t>TR003</w:t>
        </w:r>
      </w:hyperlink>
      <w:r>
        <w:t xml:space="preserve">  ·  TR003: Artículos 1, 5, 8, 79, 80, 81, 82 y 83</w:t>
      </w:r>
    </w:p>
    <w:p>
      <w:bookmarkStart w:id="113" w:name="r_TR_004"/>
      <w:pPr>
        <w:pStyle w:val="Heading2"/>
      </w:pPr>
      <w:r>
        <w:t>Transición de instalaciones existentes bajo el Decreto 226 de 2025</w:t>
      </w:r>
      <w:bookmarkEnd w:id="113"/>
    </w:p>
    <w:p>
      <w:pPr>
        <w:pStyle w:val="RecordMeta"/>
      </w:pPr>
      <w:r>
        <w:t>TR-004  ·  Hecho o requisito documentado  ·  Z1, Z2, Z3, Z4, Z5, Z6, Z7</w:t>
      </w:r>
    </w:p>
    <w:p>
      <w:r>
        <w:t>El Decreto 226/025 distingue instalaciones existentes y nuevas. Su artículo 79 concede a actividades en operación a la fecha de publicación un máximo de cinco años para adecuar vertidos, y permite al Ministerio de Ambiente exigir un plazo menor. El artículo 80 establece un plan de adecuación, dentro de dos años de la aprobación del decreto, para actividades obligadas a autorización de vertido que ya tienen autorización ambiental pero incumplen los nuevos estándares. El artículo 82 fija hasta dos años desde la publicación para solicitar autorización de vertido en los demás casos existentes alcanzados. Los artículos 81 y 83 regulan el cierre del régimen anterior y sus excepciones transitorias. Al comprar una planta en Lavalleja hay que revisar su situación concreta, permisos y plan de adecuación.</w:t>
      </w:r>
    </w:p>
    <w:p>
      <w:pPr>
        <w:pStyle w:val="RecordConditions"/>
      </w:pPr>
      <w:r>
        <w:rPr>
          <w:b/>
        </w:rPr>
        <w:t xml:space="preserve">Condiciones  </w:t>
      </w:r>
      <w:r>
        <w:t>El plazo de cinco años no es una dispensa general para instalaciones nuevas. Los plazos de los artículos 80 y 82 tienen hitos iniciales distintos; no intercambiar aprobación y publicación.</w:t>
      </w:r>
    </w:p>
    <w:p>
      <w:pPr>
        <w:pStyle w:val="SourceNote"/>
      </w:pPr>
      <w:r>
        <w:rPr>
          <w:b/>
        </w:rPr>
        <w:t xml:space="preserve">Fuentes  </w:t>
      </w:r>
      <w:hyperlink w:anchor="s_TR003">
        <w:r>
          <w:rPr>
            <w:color w:val="245C88"/>
            <w:u w:val="single"/>
          </w:rPr>
          <w:t>TR003</w:t>
        </w:r>
      </w:hyperlink>
      <w:r>
        <w:t xml:space="preserve">  ·  TR003: Artículos 1, 5, 8, 79, 80, 81, 82 y 83</w:t>
      </w:r>
    </w:p>
    <w:p>
      <w:bookmarkStart w:id="114" w:name="r_TR_005"/>
      <w:pPr>
        <w:pStyle w:val="Heading2"/>
      </w:pPr>
      <w:r>
        <w:t>Servicios de ingeniería del agua y eficiencia hídrica</w:t>
      </w:r>
      <w:bookmarkEnd w:id="114"/>
    </w:p>
    <w:p>
      <w:pPr>
        <w:pStyle w:val="RecordMeta"/>
      </w:pPr>
      <w:r>
        <w:t>TR-005  ·  Hipótesis de inversión  ·  Z1, Z2, Z4, Z5, Z6</w:t>
      </w:r>
    </w:p>
    <w:p>
      <w:r>
        <w:t>Como hipótesis de inversión para Lavalleja, los requisitos de derechos de agua y de calidad de vertidos permiten explorar servicios de balance hídrico, medición, detección de fugas, tratamiento y operación de instalaciones. Minas y los corredores con actividad industrial o agropecuaria son puntos de prospección comercial, no localizaciones con demanda contratada demostrada. El servicio puede comenzar con auditorías de consumo y alternativas de recirculación, comparando costos de instalación y operación con las exigencias del permiso. Reutilizar agua requiere evaluar su uso final, calidad y autorización aplicable; no debe afirmarse que cualquier efluente tratado sirve para riego o consumo. La oportunidad necesita clientes identificados, profesionales responsables y datos de caudales y cargas.</w:t>
      </w:r>
    </w:p>
    <w:p>
      <w:pPr>
        <w:pStyle w:val="RecordConditions"/>
      </w:pPr>
      <w:r>
        <w:rPr>
          <w:b/>
        </w:rPr>
        <w:t xml:space="preserve">Condiciones  </w:t>
      </w:r>
      <w:r>
        <w:t>Oportunidad propuesta; no se ha acreditado volumen de mercado ni cartera de contratos. Confirmar aptitud del agua reutilizada para el destino específico.</w:t>
      </w:r>
    </w:p>
    <w:p>
      <w:pPr>
        <w:pStyle w:val="SourceNote"/>
      </w:pPr>
      <w:r>
        <w:rPr>
          <w:b/>
        </w:rPr>
        <w:t xml:space="preserve">Fuentes  </w:t>
      </w:r>
      <w:hyperlink w:anchor="s_TR001">
        <w:r>
          <w:rPr>
            <w:color w:val="245C88"/>
            <w:u w:val="single"/>
          </w:rPr>
          <w:t>TR001</w:t>
        </w:r>
      </w:hyperlink>
      <w:r>
        <w:t xml:space="preserve">, </w:t>
      </w:r>
      <w:hyperlink w:anchor="s_TR003">
        <w:r>
          <w:rPr>
            <w:color w:val="245C88"/>
            <w:u w:val="single"/>
          </w:rPr>
          <w:t>TR003</w:t>
        </w:r>
      </w:hyperlink>
      <w:r>
        <w:t xml:space="preserve">  ·  TR001: Requisitos y documentación necesaria; TR003: Artículos 1, 5, 8, 79, 80, 81, 82 y 83</w:t>
      </w:r>
    </w:p>
    <w:p>
      <w:bookmarkStart w:id="115" w:name="r_TR_006"/>
      <w:pPr>
        <w:pStyle w:val="Heading2"/>
      </w:pPr>
      <w:r>
        <w:t>Residuos industriales y planes de gestión</w:t>
      </w:r>
      <w:bookmarkEnd w:id="115"/>
    </w:p>
    <w:p>
      <w:pPr>
        <w:pStyle w:val="RecordMeta"/>
      </w:pPr>
      <w:r>
        <w:t>TR-006  ·  Hecho o requisito documentado  ·  Z1, Z2, Z3, Z4, Z5, Z6, Z7</w:t>
      </w:r>
    </w:p>
    <w:p>
      <w:r>
        <w:t>En Lavalleja, una actividad comprendida en el régimen de residuos sólidos industriales debe organizar su gestión desde la generación hasta el destino final. El marco oficial comprende el Decreto 182/013, modificado por el 62/022, y alcanza diversas industrias y actividades asimiladas. El plan de gestión de residuos sólidos debe definir corrientes, cantidades, almacenamiento, transporte, tratamiento y destino; su exigencia concreta se verifica con DINACEA. La contratación de un tercero no reemplaza la comprobación de que está autorizado para la operación que realizará. La síntesis del Ministerio de Ambiente exige autorización para transportar residuos alcanzados incluso cuando el transporte es propio. Las corrientes peligrosas requieren un tratamiento diferenciado.</w:t>
      </w:r>
    </w:p>
    <w:p>
      <w:pPr>
        <w:pStyle w:val="RecordConditions"/>
      </w:pPr>
      <w:r>
        <w:rPr>
          <w:b/>
        </w:rPr>
        <w:t xml:space="preserve">Condiciones  </w:t>
      </w:r>
      <w:r>
        <w:t>No equiparar residuos domiciliarios, industriales y peligrosos. Verificar vigencia y alcance de la autorización de cada operador y destino.</w:t>
      </w:r>
    </w:p>
    <w:p>
      <w:pPr>
        <w:pStyle w:val="SourceNote"/>
      </w:pPr>
      <w:r>
        <w:rPr>
          <w:b/>
        </w:rPr>
        <w:t xml:space="preserve">Fuentes  </w:t>
      </w:r>
      <w:hyperlink w:anchor="s_TR004">
        <w:r>
          <w:rPr>
            <w:color w:val="245C88"/>
            <w:u w:val="single"/>
          </w:rPr>
          <w:t>TR004</w:t>
        </w:r>
      </w:hyperlink>
      <w:r>
        <w:t xml:space="preserve">, </w:t>
      </w:r>
      <w:hyperlink w:anchor="s_TR005">
        <w:r>
          <w:rPr>
            <w:color w:val="245C88"/>
            <w:u w:val="single"/>
          </w:rPr>
          <w:t>TR005</w:t>
        </w:r>
      </w:hyperlink>
      <w:r>
        <w:t xml:space="preserve">  ·  TR004: Ámbito de aplicación y obligaciones; TR005: Requisitos y actualización del plan</w:t>
      </w:r>
    </w:p>
    <w:p>
      <w:bookmarkStart w:id="116" w:name="r_TR_007"/>
      <w:pPr>
        <w:pStyle w:val="Heading2"/>
      </w:pPr>
      <w:r>
        <w:t>Valorización de subproductos industriales como oportunidad</w:t>
      </w:r>
      <w:bookmarkEnd w:id="116"/>
    </w:p>
    <w:p>
      <w:pPr>
        <w:pStyle w:val="RecordMeta"/>
      </w:pPr>
      <w:r>
        <w:t>TR-007  ·  Hipótesis de inversión  ·  Z1, Z2, Z4, Z5, Z6</w:t>
      </w:r>
    </w:p>
    <w:p>
      <w:r>
        <w:t>Una hipótesis para Lavalleja es desarrollar clasificación, acondicionamiento y valorización de corrientes de madera, agroindustria, envases y otros materiales de empresas existentes. Minas y José Pedro Varela pueden estudiarse como bases de servicio por su inserción en los corredores considerados en la guía, pero no se acredita aquí disponibilidad de un predio habilitado ni de una cantidad de residuo comercializable. Antes de construir una planta deben identificarse generadores, composición, estacionalidad, distancias, contratos y compradores del producto obtenido. Es esencial determinar si cada corriente mantiene la condición de residuo y qué autorizaciones necesita el transporte, el tratamiento o el destino. Un material recuperado no obtiene automáticamente habilitación para uso alimentario, agrícola o constructivo.</w:t>
      </w:r>
    </w:p>
    <w:p>
      <w:pPr>
        <w:pStyle w:val="RecordConditions"/>
      </w:pPr>
      <w:r>
        <w:rPr>
          <w:b/>
        </w:rPr>
        <w:t xml:space="preserve">Condiciones  </w:t>
      </w:r>
      <w:r>
        <w:t>Hipótesis comercial sujeta a contratos de abastecimiento y salida, trazabilidad y permisos. No se estima tonelaje disponible ni rentabilidad.</w:t>
      </w:r>
    </w:p>
    <w:p>
      <w:pPr>
        <w:pStyle w:val="SourceNote"/>
      </w:pPr>
      <w:r>
        <w:rPr>
          <w:b/>
        </w:rPr>
        <w:t xml:space="preserve">Fuentes  </w:t>
      </w:r>
      <w:hyperlink w:anchor="s_TR004">
        <w:r>
          <w:rPr>
            <w:color w:val="245C88"/>
            <w:u w:val="single"/>
          </w:rPr>
          <w:t>TR004</w:t>
        </w:r>
      </w:hyperlink>
      <w:r>
        <w:t xml:space="preserve">, </w:t>
      </w:r>
      <w:hyperlink w:anchor="s_TR005">
        <w:r>
          <w:rPr>
            <w:color w:val="245C88"/>
            <w:u w:val="single"/>
          </w:rPr>
          <w:t>TR005</w:t>
        </w:r>
      </w:hyperlink>
      <w:r>
        <w:t xml:space="preserve">  ·  TR004: Ámbito de aplicación y obligaciones; TR005: Requisitos y actualización del plan</w:t>
      </w:r>
    </w:p>
    <w:p>
      <w:bookmarkStart w:id="117" w:name="r_TR_008"/>
      <w:pPr>
        <w:pStyle w:val="Heading2"/>
      </w:pPr>
      <w:r>
        <w:t>Parques industriales y condición de usuario habilitado</w:t>
      </w:r>
      <w:bookmarkEnd w:id="117"/>
    </w:p>
    <w:p>
      <w:pPr>
        <w:pStyle w:val="RecordMeta"/>
      </w:pPr>
      <w:r>
        <w:t>TR-008  ·  Hecho o requisito documentado  ·  Z1, Z2, Z3, Z4, Z5, Z6, Z7</w:t>
      </w:r>
    </w:p>
    <w:p>
      <w:r>
        <w:t>Para instalar una empresa de Lavalleja bajo el régimen de parques industriales o científico tecnológicos, debe comprobarse primero que el parque esté habilitado y luego tramitar el reconocimiento que corresponda a la empresa usuaria. MIEM dispone de un procedimiento específico para usuarios de parques habilitados bajo la Ley 19.784, con requisitos sobre la actividad y su vinculación al parque. Llamar parque industrial a un conjunto de galpones no prueba acceso al régimen ni a sus beneficios. El inversor debe obtener los actos de habilitación del parque, la categoría de suelo, la infraestructura disponible y las condiciones de su instalación. Este registro no identifica un parque de Lavalleja con lotes disponibles confirmados.</w:t>
      </w:r>
    </w:p>
    <w:p>
      <w:pPr>
        <w:pStyle w:val="RecordConditions"/>
      </w:pPr>
      <w:r>
        <w:rPr>
          <w:b/>
        </w:rPr>
        <w:t xml:space="preserve">Condiciones  </w:t>
      </w:r>
      <w:r>
        <w:t>Verificar la resolución de habilitación y el encuadre jurídico del parque concreto. Los incentivos requieren elegibilidad y trámite; no se presumen por ubicación.</w:t>
      </w:r>
    </w:p>
    <w:p>
      <w:pPr>
        <w:pStyle w:val="SourceNote"/>
      </w:pPr>
      <w:r>
        <w:rPr>
          <w:b/>
        </w:rPr>
        <w:t xml:space="preserve">Fuentes  </w:t>
      </w:r>
      <w:hyperlink w:anchor="s_TR006">
        <w:r>
          <w:rPr>
            <w:color w:val="245C88"/>
            <w:u w:val="single"/>
          </w:rPr>
          <w:t>TR006</w:t>
        </w:r>
      </w:hyperlink>
      <w:r>
        <w:t xml:space="preserve">, </w:t>
      </w:r>
      <w:hyperlink w:anchor="s_TR007">
        <w:r>
          <w:rPr>
            <w:color w:val="245C88"/>
            <w:u w:val="single"/>
          </w:rPr>
          <w:t>TR007</w:t>
        </w:r>
      </w:hyperlink>
      <w:r>
        <w:t xml:space="preserve">  ·  TR006: Régimen de parques y normativa; TR007: Requisitos del usuario</w:t>
      </w:r>
    </w:p>
    <w:p>
      <w:bookmarkStart w:id="118" w:name="r_TR_009"/>
      <w:pPr>
        <w:pStyle w:val="Heading2"/>
      </w:pPr>
      <w:r>
        <w:t>Registro industrial y certificado DEI</w:t>
      </w:r>
      <w:bookmarkEnd w:id="118"/>
    </w:p>
    <w:p>
      <w:pPr>
        <w:pStyle w:val="RecordMeta"/>
      </w:pPr>
      <w:r>
        <w:t>TR-009  ·  Hecho o requisito documentado  ·  Z1, Z2, Z4, Z5, Z6</w:t>
      </w:r>
    </w:p>
    <w:p>
      <w:r>
        <w:t>El Directorio de Empresas Industriales de MIEM y su certificado DEI son herramientas de identificación y acreditación de empresas industriales. Al estructurar una fábrica o taller en Lavalleja conviene verificar la inscripción, la actividad declarada y la documentación exigida por el trámite o beneficio que se solicita. El certificado no reemplaza el permiso de construcción, la compatibilidad del uso del suelo, la autorización ambiental ni una habilitación sanitaria sectorial. En un proyecto de expansión o compra de una planta existente, el relevamiento debe cubrir el establecimiento y sus procesos efectivos, no solamente los datos de la sociedad. Las zonas de la guía sirven para orientar la búsqueda comercial; la localización autorizada se verifica por predio.</w:t>
      </w:r>
    </w:p>
    <w:p>
      <w:pPr>
        <w:pStyle w:val="RecordConditions"/>
      </w:pPr>
      <w:r>
        <w:rPr>
          <w:b/>
        </w:rPr>
        <w:t xml:space="preserve">Condiciones  </w:t>
      </w:r>
      <w:r>
        <w:t>Tramitar según la actividad industrial efectiva y mantener la información actualizada.</w:t>
      </w:r>
    </w:p>
    <w:p>
      <w:pPr>
        <w:pStyle w:val="SourceNote"/>
      </w:pPr>
      <w:r>
        <w:rPr>
          <w:b/>
        </w:rPr>
        <w:t xml:space="preserve">Fuentes  </w:t>
      </w:r>
      <w:hyperlink w:anchor="s_TR008">
        <w:r>
          <w:rPr>
            <w:color w:val="245C88"/>
            <w:u w:val="single"/>
          </w:rPr>
          <w:t>TR008</w:t>
        </w:r>
      </w:hyperlink>
      <w:r>
        <w:t xml:space="preserve">, </w:t>
      </w:r>
      <w:hyperlink w:anchor="s_TR007">
        <w:r>
          <w:rPr>
            <w:color w:val="245C88"/>
            <w:u w:val="single"/>
          </w:rPr>
          <w:t>TR007</w:t>
        </w:r>
      </w:hyperlink>
      <w:r>
        <w:t xml:space="preserve">  ·  TR008: Inscripción y certificado; TR007: Requisitos del usuario</w:t>
      </w:r>
    </w:p>
    <w:p>
      <w:bookmarkStart w:id="119" w:name="r_TR_010"/>
      <w:pPr>
        <w:pStyle w:val="Heading2"/>
      </w:pPr>
      <w:r>
        <w:t>Software automatización y servicios digitales especializados</w:t>
      </w:r>
      <w:bookmarkEnd w:id="119"/>
    </w:p>
    <w:p>
      <w:pPr>
        <w:pStyle w:val="RecordMeta"/>
      </w:pPr>
      <w:r>
        <w:t>TR-010  ·  Hipótesis de inversión  ·  Z1, Z2</w:t>
      </w:r>
    </w:p>
    <w:p>
      <w:r>
        <w:t>Como hipótesis de diversificación en Lavalleja pueden explorarse empresas de desarrollo de software, integración de sistemas, mantenimiento, ciberseguridad y automatización para industrias, agroempresas y operadores turísticos. Minas y Solís de Mataojo son referencias de prospección para una base de servicios, sin que esa elección pruebe disponibilidad de personal o conectividad suficiente en un inmueble determinado. El proyecto debe identificar clientes, perfiles técnicos, continuidad de conexión y un modelo de soporte. El régimen tributario del software puede ser pertinente para actividades comprendidas, pero no ampara automáticamente todo servicio digital, publicidad en redes o reventa de equipos. Si se procesan datos personales deben establecerse responsabilidades, seguridad y condiciones de tratamiento.</w:t>
      </w:r>
    </w:p>
    <w:p>
      <w:pPr>
        <w:pStyle w:val="RecordConditions"/>
      </w:pPr>
      <w:r>
        <w:rPr>
          <w:b/>
        </w:rPr>
        <w:t xml:space="preserve">Condiciones  </w:t>
      </w:r>
      <w:r>
        <w:t>Hipótesis comercial; verificar talento, conectividad por domicilio y contratos. La eventual exoneración tributaria exige cumplir sus condiciones y documentarlas.</w:t>
      </w:r>
    </w:p>
    <w:p>
      <w:pPr>
        <w:pStyle w:val="SourceNote"/>
      </w:pPr>
      <w:r>
        <w:rPr>
          <w:b/>
        </w:rPr>
        <w:t xml:space="preserve">Fuentes  </w:t>
      </w:r>
      <w:hyperlink w:anchor="s_TR009">
        <w:r>
          <w:rPr>
            <w:color w:val="245C88"/>
            <w:u w:val="single"/>
          </w:rPr>
          <w:t>TR009</w:t>
        </w:r>
      </w:hyperlink>
      <w:r>
        <w:t xml:space="preserve">, </w:t>
      </w:r>
      <w:hyperlink w:anchor="s_TR011">
        <w:r>
          <w:rPr>
            <w:color w:val="245C88"/>
            <w:u w:val="single"/>
          </w:rPr>
          <w:t>TR011</w:t>
        </w:r>
      </w:hyperlink>
      <w:r>
        <w:t xml:space="preserve">  ·  TR009: Artículo 161 BIS, apartados i y ii; TR011: Obligaciones, seguridad, privacidad por diseño y evaluación de impacto</w:t>
      </w:r>
    </w:p>
    <w:p>
      <w:bookmarkStart w:id="120" w:name="r_TR_011"/>
      <w:pPr>
        <w:pStyle w:val="Heading2"/>
      </w:pPr>
      <w:r>
        <w:t>Condiciones de la exoneración del IRAE para software</w:t>
      </w:r>
      <w:bookmarkEnd w:id="120"/>
    </w:p>
    <w:p>
      <w:pPr>
        <w:pStyle w:val="RecordMeta"/>
      </w:pPr>
      <w:r>
        <w:t>TR-011  ·  Hecho o requisito documentado  ·  Z1, Z2, Z3, Z4, Z5, Z6, Z7</w:t>
      </w:r>
    </w:p>
    <w:p>
      <w:r>
        <w:t>Una empresa de software en Lavalleja debe distinguir dos supuestos del artículo 161 BIS del Decreto 150/007. Para activos de software protegidos y registrados, la proporción exonerada depende del cociente de gastos de desarrollo definido por la norma; no es una exoneración automática de todos los ingresos. Para servicios de desarrollo y servicios vinculados incluidos en el artículo, la exoneración exige actividad desarrollada en territorio nacional, recursos humanos a tiempo completo acordes al servicio y costos directos incurridos en el país adecuados y superiores al 50 por ciento de los costos directos totales. También existen límites sobre las entidades comprendidas. La forma societaria, el contrato, la propiedad intelectual y la documentación de costos deben revisarse antes de proyectar el beneficio.</w:t>
      </w:r>
    </w:p>
    <w:p>
      <w:pPr>
        <w:pStyle w:val="RecordConditions"/>
      </w:pPr>
      <w:r>
        <w:rPr>
          <w:b/>
        </w:rPr>
        <w:t xml:space="preserve">Condiciones  </w:t>
      </w:r>
      <w:r>
        <w:t>No extender el beneficio a cualquier empresa informática o ingreso ajeno a las actividades comprendidas. La estimación fiscal requiere encuadre y documentación del proyecto particular.</w:t>
      </w:r>
    </w:p>
    <w:p>
      <w:pPr>
        <w:pStyle w:val="SourceNote"/>
      </w:pPr>
      <w:r>
        <w:rPr>
          <w:b/>
        </w:rPr>
        <w:t xml:space="preserve">Fuentes  </w:t>
      </w:r>
      <w:hyperlink w:anchor="s_TR009">
        <w:r>
          <w:rPr>
            <w:color w:val="245C88"/>
            <w:u w:val="single"/>
          </w:rPr>
          <w:t>TR009</w:t>
        </w:r>
      </w:hyperlink>
      <w:r>
        <w:t xml:space="preserve">, </w:t>
      </w:r>
      <w:hyperlink w:anchor="s_TR010">
        <w:r>
          <w:rPr>
            <w:color w:val="245C88"/>
            <w:u w:val="single"/>
          </w:rPr>
          <w:t>TR010</w:t>
        </w:r>
      </w:hyperlink>
      <w:r>
        <w:t xml:space="preserve">  ·  TR009: Artículo 161 BIS, apartados i y ii; TR010: Artículo 66</w:t>
      </w:r>
    </w:p>
    <w:p>
      <w:bookmarkStart w:id="121" w:name="r_TR_012"/>
      <w:pPr>
        <w:pStyle w:val="Heading2"/>
      </w:pPr>
      <w:r>
        <w:t>Protección de datos para servicios digitales e inteligencia artificial</w:t>
      </w:r>
      <w:bookmarkEnd w:id="121"/>
    </w:p>
    <w:p>
      <w:pPr>
        <w:pStyle w:val="RecordMeta"/>
      </w:pPr>
      <w:r>
        <w:t>TR-012  ·  Hecho o requisito documentado  ·  Z1, Z2, Z3, Z4, Z5, Z6, Z7</w:t>
      </w:r>
    </w:p>
    <w:p>
      <w:r>
        <w:t>Los servicios digitales que traten datos personales desde Lavalleja deben definir quién decide los fines del tratamiento y quién procesa datos por encargo. La guía de URCDP identifica obligaciones de registro, finalidad, calidad de datos, seguridad y atención de derechos. Un proyecto que use inteligencia artificial, reservas turísticas, datos de trabajadores o sistemas de clientes debe incorporar privacidad desde el diseño y documentar la base jurídica para cada tratamiento. La evaluación de impacto y la designación de delegado son obligatorias en los supuestos que establece la normativa, no indistintamente para toda empresa. Deben verificarse también las condiciones de proveedores de nube y transferencias internacionales. Utilizar una plataforma externa no elimina las responsabilidades sobre los datos.</w:t>
      </w:r>
    </w:p>
    <w:p>
      <w:pPr>
        <w:pStyle w:val="RecordConditions"/>
      </w:pPr>
      <w:r>
        <w:rPr>
          <w:b/>
        </w:rPr>
        <w:t xml:space="preserve">Condiciones  </w:t>
      </w:r>
      <w:r>
        <w:t>Determinar las obligaciones según los datos, escala, finalidad y países involucrados. No cargar datos de clientes en herramientas de IA sin encuadre contractual y de protección de datos.</w:t>
      </w:r>
    </w:p>
    <w:p>
      <w:pPr>
        <w:pStyle w:val="SourceNote"/>
      </w:pPr>
      <w:r>
        <w:rPr>
          <w:b/>
        </w:rPr>
        <w:t xml:space="preserve">Fuentes  </w:t>
      </w:r>
      <w:hyperlink w:anchor="s_TR011">
        <w:r>
          <w:rPr>
            <w:color w:val="245C88"/>
            <w:u w:val="single"/>
          </w:rPr>
          <w:t>TR011</w:t>
        </w:r>
      </w:hyperlink>
      <w:r>
        <w:t xml:space="preserve">  ·  TR011: Obligaciones, seguridad, privacidad por diseño y evaluación de impacto</w:t>
      </w:r>
    </w:p>
    <w:p>
      <w:bookmarkStart w:id="122" w:name="r_TR_013"/>
      <w:pPr>
        <w:pStyle w:val="Heading2"/>
      </w:pPr>
      <w:r>
        <w:t>Actividad audiovisual comprobada en Arequita</w:t>
      </w:r>
      <w:bookmarkEnd w:id="122"/>
    </w:p>
    <w:p>
      <w:pPr>
        <w:pStyle w:val="RecordMeta"/>
      </w:pPr>
      <w:r>
        <w:t>TR-013  ·  Hecho o requisito documentado  ·  Z7</w:t>
      </w:r>
    </w:p>
    <w:p>
      <w:r>
        <w:t>El 12 de junio de 2026 la Intendencia de Lavalleja informó que el largometraje Caza y Pesca se rodó durante 21 días, con unas 40 personas, en 15 locaciones del entorno del Cerro Arequita. La producción contrató servicios locales de alimentación, limpieza, lavandería, transporte y apoyo de rodaje, entre otros. La noticia identifica a Lavalleja Filma como la oficina departamental de locaciones que facilita la llegada y coordinación de producciones. Este antecedente demuestra una actividad y contrataciones efectivamente realizadas en esa zona; no acredita una demanda permanente ni habilita nuevos rodajes en cualquier predio. Cada producción debe acordar accesos y permisos según sus locaciones.</w:t>
      </w:r>
    </w:p>
    <w:p>
      <w:pPr>
        <w:pStyle w:val="RecordConditions"/>
      </w:pPr>
      <w:r>
        <w:rPr>
          <w:b/>
        </w:rPr>
        <w:t xml:space="preserve">Condiciones  </w:t>
      </w:r>
      <w:r>
        <w:t>Hecho puntual de 2026; no extrapolar empleo anual, ocupación ni contratos futuros. El entorno del cerro y el perímetro del área protegida no son equivalentes.</w:t>
      </w:r>
    </w:p>
    <w:p>
      <w:pPr>
        <w:pStyle w:val="SourceNote"/>
      </w:pPr>
      <w:r>
        <w:rPr>
          <w:b/>
        </w:rPr>
        <w:t xml:space="preserve">Fuentes  </w:t>
      </w:r>
      <w:hyperlink w:anchor="s_TR012">
        <w:r>
          <w:rPr>
            <w:color w:val="245C88"/>
            <w:u w:val="single"/>
          </w:rPr>
          <w:t>TR012</w:t>
        </w:r>
      </w:hyperlink>
      <w:r>
        <w:t xml:space="preserve">  ·  TR012: Desarrollo del rodaje y descripción de Lavalleja Filma</w:t>
      </w:r>
      <w:r>
        <w:t xml:space="preserve">  ·  Período: Rodaje informado oficialmente el 12 de junio de 2026</w:t>
      </w:r>
    </w:p>
    <w:p>
      <w:bookmarkStart w:id="123" w:name="r_TR_014"/>
      <w:pPr>
        <w:pStyle w:val="Heading2"/>
      </w:pPr>
      <w:r>
        <w:t>Proveedores locales para cine y producciones audiovisuales</w:t>
      </w:r>
      <w:bookmarkEnd w:id="123"/>
    </w:p>
    <w:p>
      <w:pPr>
        <w:pStyle w:val="RecordMeta"/>
      </w:pPr>
      <w:r>
        <w:t>TR-014  ·  Hipótesis de inversión  ·  Z1, Z7</w:t>
      </w:r>
    </w:p>
    <w:p>
      <w:r>
        <w:t>Como hipótesis comercial a partir del antecedente de Caza y Pesca, se puede explorar una red de proveedores de logística, alojamiento, alimentación y apoyo técnico para rodajes en Lavalleja. Minas puede estudiarse como base de coordinación y el entorno de Arequita como antecedente de locaciones utilizadas. Antes de invertir conviene validar con Lavalleja Filma y productoras el calendario de proyectos y los requisitos de contratación. La oportunidad es prestar servicios a producciones concretas; no se da por comprobada una demanda continua. El análisis debe incluir disponibilidad por jornada, transporte, seguros y autorizaciones del inmueble o espacio utilizado.</w:t>
      </w:r>
    </w:p>
    <w:p>
      <w:pPr>
        <w:pStyle w:val="RecordConditions"/>
      </w:pPr>
      <w:r>
        <w:rPr>
          <w:b/>
        </w:rPr>
        <w:t xml:space="preserve">Condiciones  </w:t>
      </w:r>
      <w:r>
        <w:t>Hipótesis derivada de un antecedente oficial, sin proyección de ingresos. Las locaciones necesitan acuerdos y permisos propios.</w:t>
      </w:r>
    </w:p>
    <w:p>
      <w:pPr>
        <w:pStyle w:val="SourceNote"/>
      </w:pPr>
      <w:r>
        <w:rPr>
          <w:b/>
        </w:rPr>
        <w:t xml:space="preserve">Fuentes  </w:t>
      </w:r>
      <w:hyperlink w:anchor="s_TR012">
        <w:r>
          <w:rPr>
            <w:color w:val="245C88"/>
            <w:u w:val="single"/>
          </w:rPr>
          <w:t>TR012</w:t>
        </w:r>
      </w:hyperlink>
      <w:r>
        <w:t xml:space="preserve">  ·  TR012: Desarrollo del rodaje y descripción de Lavalleja Filma</w:t>
      </w:r>
    </w:p>
    <w:p>
      <w:bookmarkStart w:id="124" w:name="r_TR_015"/>
      <w:pPr>
        <w:pStyle w:val="Heading2"/>
      </w:pPr>
      <w:r>
        <w:t>Instrumentos de apoyo a la producción audiovisual</w:t>
      </w:r>
      <w:bookmarkEnd w:id="124"/>
    </w:p>
    <w:p>
      <w:pPr>
        <w:pStyle w:val="RecordMeta"/>
      </w:pPr>
      <w:r>
        <w:t>TR-015  ·  Hecho o requisito documentado  ·  Z1, Z2, Z3, Z4, Z5, Z6, Z7</w:t>
      </w:r>
    </w:p>
    <w:p>
      <w:r>
        <w:t>ACAU administra el Fondo de Fomento Cinematográfico y Audiovisual y el Programa Uruguay Audiovisual. Su presentación 2026 distingue convocatorias nacionales y mecanismos para producción o postproducción internacional; el directorio oficial permite consultar bases y estado de cada llamado. Una empresa instalada en Lavalleja puede estudiar el instrumento correspondiente a su actividad y tipo de proyecto, sin presumir elegibilidad por estar en el departamento. El proyecto debe confirmar solicitante admitido, gasto elegible, fechas, presupuesto disponible y obligaciones de rendición antes de considerar el apoyo en su financiación. No se fija aquí un porcentaje de devolución ni se afirma que una convocatoria siga abierta: esos datos dependen de las bases y su estado al presentar.</w:t>
      </w:r>
    </w:p>
    <w:p>
      <w:pPr>
        <w:pStyle w:val="RecordConditions"/>
      </w:pPr>
      <w:r>
        <w:rPr>
          <w:b/>
        </w:rPr>
        <w:t xml:space="preserve">Condiciones  </w:t>
      </w:r>
      <w:r>
        <w:t>Revalidar la convocatoria concreta y sus fondos disponibles en la fecha de postulación. No confundir un programa anunciado con un beneficio adjudicado.</w:t>
      </w:r>
    </w:p>
    <w:p>
      <w:pPr>
        <w:pStyle w:val="SourceNote"/>
      </w:pPr>
      <w:r>
        <w:rPr>
          <w:b/>
        </w:rPr>
        <w:t xml:space="preserve">Fuentes  </w:t>
      </w:r>
      <w:hyperlink w:anchor="s_TR013">
        <w:r>
          <w:rPr>
            <w:color w:val="245C88"/>
            <w:u w:val="single"/>
          </w:rPr>
          <w:t>TR013</w:t>
        </w:r>
      </w:hyperlink>
      <w:r>
        <w:t xml:space="preserve">, </w:t>
      </w:r>
      <w:hyperlink w:anchor="s_TR014">
        <w:r>
          <w:rPr>
            <w:color w:val="245C88"/>
            <w:u w:val="single"/>
          </w:rPr>
          <w:t>TR014</w:t>
        </w:r>
      </w:hyperlink>
      <w:r>
        <w:t xml:space="preserve">  ·  TR013: Fondos y tipos de convocatorias; TR014: Directorio de convocatorias y bases de cada instrumento</w:t>
      </w:r>
    </w:p>
    <w:p>
      <w:bookmarkStart w:id="125" w:name="r_TR_016"/>
      <w:pPr>
        <w:pStyle w:val="Heading2"/>
      </w:pPr>
      <w:r>
        <w:t>Cáñamo industrial y cannabis no psicoactivo</w:t>
      </w:r>
      <w:bookmarkEnd w:id="125"/>
    </w:p>
    <w:p>
      <w:pPr>
        <w:pStyle w:val="RecordMeta"/>
      </w:pPr>
      <w:r>
        <w:t>TR-016  ·  Hecho con aplicación o inferencia  ·  Z1, Z2, Z3, Z4, Z5, Z6, Z7</w:t>
      </w:r>
    </w:p>
    <w:p>
      <w:r>
        <w:t>El cultivo y operación con cannabis no psicoactivo en Lavalleja requieren estudiar la autorización de DGSA del MGAP, que dispone de un trámite específico para operar y exige un proyecto con finalidad, localización y documentación del titular. La información oficial del servicio de cáñamo diferencia los usos industriales no medicinales. El proyecto debe identificar padrones y coordenadas y precisar actividades, instalaciones, manejo y destino. Puede explorarse como sector de diversificación, pero no se ha acreditado en este complemento una zona del departamento habilitada en forma general ni una planta local operativa. La aptitud agronómica, la compra del producto, la trazabilidad y los permisos territoriales y ambientales deben resolverse por proyecto.</w:t>
      </w:r>
    </w:p>
    <w:p>
      <w:pPr>
        <w:pStyle w:val="RecordConditions"/>
      </w:pPr>
      <w:r>
        <w:rPr>
          <w:b/>
        </w:rPr>
        <w:t xml:space="preserve">Condiciones  </w:t>
      </w:r>
      <w:r>
        <w:t>No equiparar una autorización de cáñamo industrial con una licencia medicinal. Localización exploratoria; sin superficie disponible ni rentabilidad acreditadas.</w:t>
      </w:r>
    </w:p>
    <w:p>
      <w:pPr>
        <w:pStyle w:val="SourceNote"/>
      </w:pPr>
      <w:r>
        <w:rPr>
          <w:b/>
        </w:rPr>
        <w:t xml:space="preserve">Fuentes  </w:t>
      </w:r>
      <w:hyperlink w:anchor="s_TR015">
        <w:r>
          <w:rPr>
            <w:color w:val="245C88"/>
            <w:u w:val="single"/>
          </w:rPr>
          <w:t>TR015</w:t>
        </w:r>
      </w:hyperlink>
      <w:r>
        <w:t xml:space="preserve">, </w:t>
      </w:r>
      <w:hyperlink w:anchor="s_TR016">
        <w:r>
          <w:rPr>
            <w:color w:val="245C88"/>
            <w:u w:val="single"/>
          </w:rPr>
          <w:t>TR016</w:t>
        </w:r>
      </w:hyperlink>
      <w:r>
        <w:t xml:space="preserve">  ·  TR015: Requisitos, proyecto y localización; TR016: Alcance de la licencia</w:t>
      </w:r>
    </w:p>
    <w:p>
      <w:bookmarkStart w:id="126" w:name="r_TR_017"/>
      <w:pPr>
        <w:pStyle w:val="Heading2"/>
      </w:pPr>
      <w:r>
        <w:t>Cannabis medicinal e investigación científica</w:t>
      </w:r>
      <w:bookmarkEnd w:id="126"/>
    </w:p>
    <w:p>
      <w:pPr>
        <w:pStyle w:val="RecordMeta"/>
      </w:pPr>
      <w:r>
        <w:t>TR-017  ·  Hecho con aplicación o inferencia  ·  Z1, Z2, Z3, Z4, Z5, Z6, Z7</w:t>
      </w:r>
    </w:p>
    <w:p>
      <w:r>
        <w:t>Los proyectos de cannabis para uso medicinal o investigación científica tienen un procedimiento de licenciamiento ante IRCCA diferente del trámite agrícola de cáñamo industrial no medicinal. Para una inversión que considere Lavalleja, el primer paso es definir exactamente qué actividad se pretende realizar y el destino del producto, y contrastarlos con la licencia y exigencias sanitarias que correspondan. La existencia de este régimen nacional no prueba que haya una zona de Lavalleja preautorizada ni una empresa local disponible para asociarse. El modelo requiere evaluar instalaciones, responsables, calidad, trazabilidad, compradores y requisitos de comercialización o exportación. Una licencia para una etapa no debe interpretarse como autorización para toda la cadena.</w:t>
      </w:r>
    </w:p>
    <w:p>
      <w:pPr>
        <w:pStyle w:val="RecordConditions"/>
      </w:pPr>
      <w:r>
        <w:rPr>
          <w:b/>
        </w:rPr>
        <w:t xml:space="preserve">Condiciones  </w:t>
      </w:r>
      <w:r>
        <w:t>Sector exploratorio para Lavalleja; no se acredita un emplazamiento habilitado. Verificar por separado la actividad, el producto y sus habilitaciones.</w:t>
      </w:r>
    </w:p>
    <w:p>
      <w:pPr>
        <w:pStyle w:val="SourceNote"/>
      </w:pPr>
      <w:r>
        <w:rPr>
          <w:b/>
        </w:rPr>
        <w:t xml:space="preserve">Fuentes  </w:t>
      </w:r>
      <w:hyperlink w:anchor="s_TR017">
        <w:r>
          <w:rPr>
            <w:color w:val="245C88"/>
            <w:u w:val="single"/>
          </w:rPr>
          <w:t>TR017</w:t>
        </w:r>
      </w:hyperlink>
      <w:r>
        <w:t xml:space="preserve">, </w:t>
      </w:r>
      <w:hyperlink w:anchor="s_TR016">
        <w:r>
          <w:rPr>
            <w:color w:val="245C88"/>
            <w:u w:val="single"/>
          </w:rPr>
          <w:t>TR016</w:t>
        </w:r>
      </w:hyperlink>
      <w:r>
        <w:t xml:space="preserve">  ·  TR017: Objeto de la licencia y requisitos; TR016: Alcance de la licencia</w:t>
      </w:r>
    </w:p>
    <w:p>
      <w:bookmarkStart w:id="127" w:name="r_TR_018"/>
      <w:pPr>
        <w:pStyle w:val="Heading2"/>
      </w:pPr>
      <w:r>
        <w:t>Acuicultura y proyectos de cultivo de organismos acuáticos</w:t>
      </w:r>
      <w:bookmarkEnd w:id="127"/>
    </w:p>
    <w:p>
      <w:pPr>
        <w:pStyle w:val="RecordMeta"/>
      </w:pPr>
      <w:r>
        <w:t>TR-018  ·  Hecho con aplicación o inferencia  ·  Z1, Z2, Z3, Z4, Z5, Z6, Z7</w:t>
      </w:r>
    </w:p>
    <w:p>
      <w:r>
        <w:t>DINARA dispone de un procedimiento de aprobación de proyectos de desarrollo de acuicultura que exige información del titular, propuesta técnica y acreditación del vínculo con el predio. Para un inversor que evalúe Lavalleja, este marco permite estudiar producción acuícola como alternativa exploratoria, sin que la presencia de una represa o arroyo demuestre aptitud ni autorización. Deben evaluarse la especie, abastecimiento de agua, temperatura, sanidad, bioseguridad, alimentación, efluentes y mercado; además corresponden los permisos de agua, ambientales y territoriales aplicables. No se identifica aquí una zona habilitada ni una capacidad productiva local comprobada. Un proyecto piloto tendría que justificar técnicamente su localización y su salida comercial.</w:t>
      </w:r>
    </w:p>
    <w:p>
      <w:pPr>
        <w:pStyle w:val="RecordConditions"/>
      </w:pPr>
      <w:r>
        <w:rPr>
          <w:b/>
        </w:rPr>
        <w:t xml:space="preserve">Condiciones  </w:t>
      </w:r>
      <w:r>
        <w:t>El permiso de agua no sustituye la aprobación de DINARA. No introducir especies ni iniciar cultivo sin resolver las autorizaciones correspondientes.</w:t>
      </w:r>
    </w:p>
    <w:p>
      <w:pPr>
        <w:pStyle w:val="SourceNote"/>
      </w:pPr>
      <w:r>
        <w:rPr>
          <w:b/>
        </w:rPr>
        <w:t xml:space="preserve">Fuentes  </w:t>
      </w:r>
      <w:hyperlink w:anchor="s_TR018">
        <w:r>
          <w:rPr>
            <w:color w:val="245C88"/>
            <w:u w:val="single"/>
          </w:rPr>
          <w:t>TR018</w:t>
        </w:r>
      </w:hyperlink>
      <w:r>
        <w:t xml:space="preserve">, </w:t>
      </w:r>
      <w:hyperlink w:anchor="s_TR001">
        <w:r>
          <w:rPr>
            <w:color w:val="245C88"/>
            <w:u w:val="single"/>
          </w:rPr>
          <w:t>TR001</w:t>
        </w:r>
      </w:hyperlink>
      <w:r>
        <w:t xml:space="preserve">, </w:t>
      </w:r>
      <w:hyperlink w:anchor="s_TR003">
        <w:r>
          <w:rPr>
            <w:color w:val="245C88"/>
            <w:u w:val="single"/>
          </w:rPr>
          <w:t>TR003</w:t>
        </w:r>
      </w:hyperlink>
      <w:r>
        <w:t xml:space="preserve">  ·  TR018: Proyecto, titular y vínculo con el predio; TR001: Requisitos y documentación necesaria; TR003: Artículos 1, 5, 8, 79, 80, 81, 82 y 83</w:t>
      </w:r>
    </w:p>
    <w:p>
      <w:bookmarkStart w:id="128" w:name="r_TR_019"/>
      <w:pPr>
        <w:pStyle w:val="Heading2"/>
      </w:pPr>
      <w:r>
        <w:t>Servicios con drones para agro y mantenimiento</w:t>
      </w:r>
      <w:bookmarkEnd w:id="128"/>
    </w:p>
    <w:p>
      <w:pPr>
        <w:pStyle w:val="RecordMeta"/>
      </w:pPr>
      <w:r>
        <w:t>TR-019  ·  Hipótesis de inversión  ·  Z1, Z2, Z4, Z5, Z6, Z7</w:t>
      </w:r>
    </w:p>
    <w:p>
      <w:r>
        <w:t>Como hipótesis para Lavalleja pueden evaluarse servicios con drones de relevamiento, inspección y apoyo a decisiones en establecimientos rurales e instalaciones. El proyecto necesita una cartera de clientes, equipos adecuados, operadores competentes y autorización de la operación aérea según corresponda. El registro del equipo ante DINACIA es una referencia inicial del cumplimiento aeronáutico, pero no equivale a habilitación universal para cualquier vuelo. Si se incorpora aplicación de fitosanitarios, se ingresa además en el régimen de DGSA para aplicaciones aéreas. Es recomendable separar comercialmente el relevamiento de datos y la aplicación de productos porque tienen exigencias y responsabilidades diferentes. Las localidades de la guía orientan la prospección, no acreditan demanda ni libertad de vuelo.</w:t>
      </w:r>
    </w:p>
    <w:p>
      <w:pPr>
        <w:pStyle w:val="RecordConditions"/>
      </w:pPr>
      <w:r>
        <w:rPr>
          <w:b/>
        </w:rPr>
        <w:t xml:space="preserve">Condiciones  </w:t>
      </w:r>
      <w:r>
        <w:t>Hipótesis sin estimación de demanda local. Verificar restricciones del espacio aéreo y permisos del predio o actividad.</w:t>
      </w:r>
    </w:p>
    <w:p>
      <w:pPr>
        <w:pStyle w:val="SourceNote"/>
      </w:pPr>
      <w:r>
        <w:rPr>
          <w:b/>
        </w:rPr>
        <w:t xml:space="preserve">Fuentes  </w:t>
      </w:r>
      <w:hyperlink w:anchor="s_TR021">
        <w:r>
          <w:rPr>
            <w:color w:val="245C88"/>
            <w:u w:val="single"/>
          </w:rPr>
          <w:t>TR021</w:t>
        </w:r>
      </w:hyperlink>
      <w:r>
        <w:t xml:space="preserve">, </w:t>
      </w:r>
      <w:hyperlink w:anchor="s_TR019">
        <w:r>
          <w:rPr>
            <w:color w:val="245C88"/>
            <w:u w:val="single"/>
          </w:rPr>
          <w:t>TR019</w:t>
        </w:r>
      </w:hyperlink>
      <w:r>
        <w:t xml:space="preserve">, </w:t>
      </w:r>
      <w:hyperlink w:anchor="s_TR020">
        <w:r>
          <w:rPr>
            <w:color w:val="245C88"/>
            <w:u w:val="single"/>
          </w:rPr>
          <w:t>TR020</w:t>
        </w:r>
      </w:hyperlink>
      <w:r>
        <w:t xml:space="preserve">  ·  TR021: Registro de drones; TR019: RUO, REA, carné y aplicaciones; TR020: Autorización de aplicaciones aéreas</w:t>
      </w:r>
    </w:p>
    <w:p>
      <w:bookmarkStart w:id="129" w:name="r_TR_020"/>
      <w:pPr>
        <w:pStyle w:val="Heading2"/>
      </w:pPr>
      <w:r>
        <w:t>Aplicación de fitosanitarios con drones</w:t>
      </w:r>
      <w:bookmarkEnd w:id="129"/>
    </w:p>
    <w:p>
      <w:pPr>
        <w:pStyle w:val="RecordMeta"/>
      </w:pPr>
      <w:r>
        <w:t>TR-020  ·  Hecho o requisito documentado  ·  Z1, Z2, Z3, Z4, Z5, Z6, Z7</w:t>
      </w:r>
    </w:p>
    <w:p>
      <w:r>
        <w:t>DGSA considera aéreas las aplicaciones de fitosanitarios con drones. La comunicación oficial exige requisitos tanto para servicios a terceros como para uso propio: inscripción del operador en RUO, registro y habilitación del equipo en REA y formación de los operadores. La comunicación posterior de diciembre de 2023 recuerda la autorización previa de DGSA para estas aplicaciones. En Lavalleja deben verificarse, además, las restricciones de aplicación respecto de centros poblados, escuelas y cursos de agua, el producto autorizado y la regulación aeronáutica. Comprar un dron o inscribirlo en DINACIA no habilita por sí solo a aplicar fitosanitarios. El proyecto debe consultar el procedimiento vigente de registro de aplicaciones y las condiciones específicas de su sistema.</w:t>
      </w:r>
    </w:p>
    <w:p>
      <w:pPr>
        <w:pStyle w:val="RecordConditions"/>
      </w:pPr>
      <w:r>
        <w:rPr>
          <w:b/>
        </w:rPr>
        <w:t xml:space="preserve">Condiciones  </w:t>
      </w:r>
      <w:r>
        <w:t>Las distancias y condiciones deben comprobarse para el producto, técnica y sitio; no se presume que sean iguales a una aplicación terrestre. Verificar vigencia de registros y autorización antes de operar.</w:t>
      </w:r>
    </w:p>
    <w:p>
      <w:pPr>
        <w:pStyle w:val="SourceNote"/>
      </w:pPr>
      <w:r>
        <w:rPr>
          <w:b/>
        </w:rPr>
        <w:t xml:space="preserve">Fuentes  </w:t>
      </w:r>
      <w:hyperlink w:anchor="s_TR019">
        <w:r>
          <w:rPr>
            <w:color w:val="245C88"/>
            <w:u w:val="single"/>
          </w:rPr>
          <w:t>TR019</w:t>
        </w:r>
      </w:hyperlink>
      <w:r>
        <w:t xml:space="preserve">, </w:t>
      </w:r>
      <w:hyperlink w:anchor="s_TR020">
        <w:r>
          <w:rPr>
            <w:color w:val="245C88"/>
            <w:u w:val="single"/>
          </w:rPr>
          <w:t>TR020</w:t>
        </w:r>
      </w:hyperlink>
      <w:r>
        <w:t xml:space="preserve">, </w:t>
      </w:r>
      <w:hyperlink w:anchor="s_TR021">
        <w:r>
          <w:rPr>
            <w:color w:val="245C88"/>
            <w:u w:val="single"/>
          </w:rPr>
          <w:t>TR021</w:t>
        </w:r>
      </w:hyperlink>
      <w:r>
        <w:t xml:space="preserve">  ·  TR019: RUO, REA, carné y aplicaciones; TR020: Autorización de aplicaciones aéreas; TR021: Registro de drones</w:t>
      </w:r>
    </w:p>
    <w:p>
      <w:bookmarkStart w:id="130" w:name="r_TR_021"/>
      <w:pPr>
        <w:pStyle w:val="Heading2"/>
      </w:pPr>
      <w:r>
        <w:t>Compras públicas como canal comercial para proveedores</w:t>
      </w:r>
      <w:bookmarkEnd w:id="130"/>
    </w:p>
    <w:p>
      <w:pPr>
        <w:pStyle w:val="RecordMeta"/>
      </w:pPr>
      <w:r>
        <w:t>TR-021  ·  Hecho o requisito documentado  ·  Z1, Z2, Z3, Z4, Z5, Z6, Z7</w:t>
      </w:r>
    </w:p>
    <w:p>
      <w:r>
        <w:t>Una empresa de Lavalleja puede estudiar las compras estatales como canal comercial para bienes, mantenimiento, alimentación, servicios técnicos u otras prestaciones que efectivamente ofrezca. ARCE indica que la inscripción en RUPE es un requisito para contratar con organismos públicos estatales y que el proveedor debe mantener actualizada su información. El registro se realiza una vez y la documentación depende del tipo de persona o entidad. La estrategia comercial requiere identificar llamados, pliegos, especificaciones, capacidad de entrega y criterios de adjudicación. Tener registro no garantiza ventas, preferencia departamental ni contratación directa. Las habilitaciones del rubro y las exigencias del llamado se verifican además del registro general.</w:t>
      </w:r>
    </w:p>
    <w:p>
      <w:pPr>
        <w:pStyle w:val="RecordConditions"/>
      </w:pPr>
      <w:r>
        <w:rPr>
          <w:b/>
        </w:rPr>
        <w:t xml:space="preserve">Condiciones  </w:t>
      </w:r>
      <w:r>
        <w:t>Revisar el régimen y las excepciones aplicables a cada contratación en el pliego y la normativa. No presupuestar ingresos estatales sin adjudicación o contrato.</w:t>
      </w:r>
    </w:p>
    <w:p>
      <w:pPr>
        <w:pStyle w:val="SourceNote"/>
      </w:pPr>
      <w:r>
        <w:rPr>
          <w:b/>
        </w:rPr>
        <w:t xml:space="preserve">Fuentes  </w:t>
      </w:r>
      <w:hyperlink w:anchor="s_TR022">
        <w:r>
          <w:rPr>
            <w:color w:val="245C88"/>
            <w:u w:val="single"/>
          </w:rPr>
          <w:t>TR022</w:t>
        </w:r>
      </w:hyperlink>
      <w:r>
        <w:t xml:space="preserve">  ·  TR022: Objeto y requisitos de inscripción</w:t>
      </w:r>
    </w:p>
    <w:p>
      <w:bookmarkStart w:id="131" w:name="r_TR_022"/>
      <w:pPr>
        <w:pStyle w:val="Heading2"/>
      </w:pPr>
      <w:r>
        <w:t>Promoción de inversiones y elegibilidad sectorial</w:t>
      </w:r>
      <w:bookmarkEnd w:id="131"/>
    </w:p>
    <w:p>
      <w:pPr>
        <w:pStyle w:val="RecordMeta"/>
      </w:pPr>
      <w:r>
        <w:t>TR-022  ·  Hecho o requisito documentado  ·  Z1, Z2, Z3, Z4, Z5, Z6, Z7</w:t>
      </w:r>
    </w:p>
    <w:p>
      <w:r>
        <w:t>El régimen general de promoción de inversiones del Decreto 329/025 rige desde el 1 de febrero de 2026 y debe consultarse con sus modificaciones, entre ellas el Decreto 152/026. Para un proyecto en Lavalleja, el análisis comienza por verificar que el titular y sus inversiones sean elegibles, qué indicadores puede acreditar y qué obligaciones asumirá. Estar en un sector estratégico no concede automáticamente una exoneración ni elimina permisos territoriales, energéticos, ambientales o sanitarios. La documentación oficial de COMAP y sus herramientas deben usarse en la versión vigente al presentar. La opción transitoria de presentar bajo el régimen anterior hasta el 30 de abril de 2026 ya no debe ofrecerse como disponible al corte de este documento.</w:t>
      </w:r>
    </w:p>
    <w:p>
      <w:pPr>
        <w:pStyle w:val="RecordConditions"/>
      </w:pPr>
      <w:r>
        <w:rPr>
          <w:b/>
        </w:rPr>
        <w:t xml:space="preserve">Condiciones  </w:t>
      </w:r>
      <w:r>
        <w:t>La guía original ya incluía COMAP 329/025 y 152/026; esta ficha profundiza el uso correcto del régimen. No prometer un porcentaje, puntaje o monto de beneficio sin evaluar el proyecto.</w:t>
      </w:r>
    </w:p>
    <w:p>
      <w:pPr>
        <w:pStyle w:val="SourceNote"/>
      </w:pPr>
      <w:r>
        <w:rPr>
          <w:b/>
        </w:rPr>
        <w:t xml:space="preserve">Fuentes  </w:t>
      </w:r>
      <w:hyperlink w:anchor="s_TR023">
        <w:r>
          <w:rPr>
            <w:color w:val="245C88"/>
            <w:u w:val="single"/>
          </w:rPr>
          <w:t>TR023</w:t>
        </w:r>
      </w:hyperlink>
      <w:r>
        <w:t xml:space="preserve">, </w:t>
      </w:r>
      <w:hyperlink w:anchor="s_TR024">
        <w:r>
          <w:rPr>
            <w:color w:val="245C88"/>
            <w:u w:val="single"/>
          </w:rPr>
          <w:t>TR024</w:t>
        </w:r>
      </w:hyperlink>
      <w:r>
        <w:t xml:space="preserve">, </w:t>
      </w:r>
      <w:hyperlink w:anchor="s_TR025">
        <w:r>
          <w:rPr>
            <w:color w:val="245C88"/>
            <w:u w:val="single"/>
          </w:rPr>
          <w:t>TR025</w:t>
        </w:r>
      </w:hyperlink>
      <w:r>
        <w:t xml:space="preserve">  ·  TR023: Artículos 1, 3, 4, 10 y 23; TR024: Normativa y criterios; TR025: Documentación y simulador</w:t>
      </w:r>
    </w:p>
    <w:p>
      <w:bookmarkStart w:id="132" w:name="r_TR_023"/>
      <w:pPr>
        <w:pStyle w:val="Heading2"/>
      </w:pPr>
      <w:r>
        <w:t>Fechas y límites para computar inversión en COMAP</w:t>
      </w:r>
      <w:bookmarkEnd w:id="132"/>
    </w:p>
    <w:p>
      <w:pPr>
        <w:pStyle w:val="RecordMeta"/>
      </w:pPr>
      <w:r>
        <w:t>TR-023  ·  Hecho o requisito documentado  ·  Z1, Z2, Z3, Z4, Z5, Z6, Z7</w:t>
      </w:r>
    </w:p>
    <w:p>
      <w:r>
        <w:t>El artículo 4 del Decreto 329/025, en la redacción del Decreto 152/026, establece reglas temporales para computar inversión elegible. Contempla hasta cinco ejercicios siguientes al de presentación, y admite inversiones necesarias para realizar el proyecto, efectuadas en los seis meses anteriores al primer día del mes de presentación, con un límite del 20 por ciento de la inversión elegible total. Para proyectos superiores a 180 millones de unidades indexadas prevé la posibilidad excepcional de extender el cronograma hasta diez ejercicios, con justificación al presentar. El inversor en Lavalleja debe revisar el texto completo y la documentación vigente de COMAP antes de comprometer compras contando con el beneficio. Estas reglas no significan aprobación del proyecto ni exoneración de todo el desembolso.</w:t>
      </w:r>
    </w:p>
    <w:p>
      <w:pPr>
        <w:pStyle w:val="RecordConditions"/>
      </w:pPr>
      <w:r>
        <w:rPr>
          <w:b/>
        </w:rPr>
        <w:t xml:space="preserve">Condiciones  </w:t>
      </w:r>
      <w:r>
        <w:t>La UI no equivale a pesos ni a dólares; convertir con el valor y fecha que correspondan. Verificar períodos, inversiones elegibles y requisitos de la extensión en la presentación concreta.</w:t>
      </w:r>
    </w:p>
    <w:p>
      <w:pPr>
        <w:pStyle w:val="SourceNote"/>
      </w:pPr>
      <w:r>
        <w:rPr>
          <w:b/>
        </w:rPr>
        <w:t xml:space="preserve">Fuentes  </w:t>
      </w:r>
      <w:hyperlink w:anchor="s_TR023">
        <w:r>
          <w:rPr>
            <w:color w:val="245C88"/>
            <w:u w:val="single"/>
          </w:rPr>
          <w:t>TR023</w:t>
        </w:r>
      </w:hyperlink>
      <w:r>
        <w:t xml:space="preserve">, </w:t>
      </w:r>
      <w:hyperlink w:anchor="s_TR025">
        <w:r>
          <w:rPr>
            <w:color w:val="245C88"/>
            <w:u w:val="single"/>
          </w:rPr>
          <w:t>TR025</w:t>
        </w:r>
      </w:hyperlink>
      <w:r>
        <w:t xml:space="preserve">  ·  TR023: Artículos 1, 3, 4, 10 y 23; TR025: Documentación y simulador</w:t>
      </w:r>
    </w:p>
    <w:p>
      <w:bookmarkStart w:id="133" w:name="r_TR_024"/>
      <w:pPr>
        <w:pStyle w:val="Heading2"/>
      </w:pPr>
      <w:r>
        <w:t>Arequita SNAP restricciones agrícolas extractivas y turísticas</w:t>
      </w:r>
      <w:bookmarkEnd w:id="133"/>
    </w:p>
    <w:p>
      <w:pPr>
        <w:pStyle w:val="RecordMeta"/>
      </w:pPr>
      <w:r>
        <w:t>TR-024  ·  Hecho o requisito documentado  ·  Z7</w:t>
      </w:r>
    </w:p>
    <w:p>
      <w:r>
        <w:t>Además de los eólicos y la alta tensión, el artículo 3 del Decreto 306/024 prohíbe dentro del área protegida Arequita la urbanización, la extracción de minerales, las nuevas plantaciones forestales de especies exóticas, los cultivos agrícolas y el encierro de ganado a corral. Otras disposiciones regulan obras, actividades de uso público, aprovechamientos productivos, agua, residuos, ruido y luz según su alcance y las condiciones del artículo. La recolección de material geológico y el uso de drones tienen excepciones expresas vinculadas al plan de manejo; mientras este no esté aprobado, las excepciones previstas requieren autorización previa de la Dirección Nacional de Biodiversidad y Servicios Ecosistémicos. Antes de proponer olivos, viñedos, una cantera, una excursión o un rodaje debe comprobarse si la actividad y el predio quedan dentro del área delimitada. La condición turística o educativa del proyecto no concede por sí sola autorización.</w:t>
      </w:r>
    </w:p>
    <w:p>
      <w:pPr>
        <w:pStyle w:val="RecordConditions"/>
      </w:pPr>
      <w:r>
        <w:rPr>
          <w:b/>
        </w:rPr>
        <w:t xml:space="preserve">Condiciones  </w:t>
      </w:r>
      <w:r>
        <w:t>Aplicar la delimitación del artículo 1 y su anexo, incluidos antecedentes catastrales; no extender el régimen a toda Z7. Verificar el plan de manejo y las excepciones previstas para la actividad; no presumir dispensas generales a prohibiciones.</w:t>
      </w:r>
    </w:p>
    <w:p>
      <w:pPr>
        <w:pStyle w:val="SourceNote"/>
      </w:pPr>
      <w:r>
        <w:rPr>
          <w:b/>
        </w:rPr>
        <w:t xml:space="preserve">Fuentes  </w:t>
      </w:r>
      <w:hyperlink w:anchor="s_TR026">
        <w:r>
          <w:rPr>
            <w:color w:val="245C88"/>
            <w:u w:val="single"/>
          </w:rPr>
          <w:t>TR026</w:t>
        </w:r>
      </w:hyperlink>
      <w:r>
        <w:t xml:space="preserve">  ·  TR026: artículos 1 a 3, restricciones de usos y párrafo final del artículo 3</w:t>
      </w:r>
      <w:r>
        <w:t xml:space="preserve">  ·  Período: Decreto 306/024 publicado el 22 de noviembre de 2024; consulta al corte</w:t>
      </w:r>
    </w:p>
    <w:p>
      <w:bookmarkStart w:id="134" w:name="r_TR_025"/>
      <w:pPr>
        <w:pStyle w:val="Heading2"/>
      </w:pPr>
      <w:r>
        <w:t>Protección de márgenes en El Soldado y el embalse San Francisco</w:t>
      </w:r>
      <w:bookmarkEnd w:id="134"/>
    </w:p>
    <w:p>
      <w:pPr>
        <w:pStyle w:val="RecordMeta"/>
      </w:pPr>
      <w:r>
        <w:t>TR-025  ·  Hecho o requisito documentado  ·  Ámbito específico descrito en la ficha</w:t>
      </w:r>
    </w:p>
    <w:p>
      <w:r>
        <w:t>La información oficial de la Resolución Ministerial 229/015 establece zonas de amortiguación en determinados cursos y cuerpos de agua de la cuenca del Santa Lucía. Entre los ámbitos nombrados relevantes para Lavalleja figuran el río Santa Lucía, el arroyo El Soldado y el embalse San Francisco. La medida prohíbe modificar el tapiz vegetal, laborear y aplicar agroquímicos directamente en los cursos y en sus franjas de amortiguación. Para una inversión agrícola, turística o de servicios próxima a estas aguas debe verificarse el tramo y la delimitación aplicable en la resolución y su cartografía, sin inventar un ancho único para todo el departamento. La referencia de cuenca no coincide con las zonas comerciales de la guía. Este control se suma a los derechos de uso, el régimen de vertidos y las normas territoriales específicas del predio.</w:t>
      </w:r>
    </w:p>
    <w:p>
      <w:pPr>
        <w:pStyle w:val="RecordConditions"/>
      </w:pPr>
      <w:r>
        <w:rPr>
          <w:b/>
        </w:rPr>
        <w:t xml:space="preserve">Condiciones  </w:t>
      </w:r>
      <w:r>
        <w:t>Fuente ministerial de 2015 consultada al corte; comprobar el alcance y cualquier medida posterior para el tramo concreto. No confundir franjas de protección de cursos con retiros de construcción del Plan Local de Villa Serrana.</w:t>
      </w:r>
    </w:p>
    <w:p>
      <w:pPr>
        <w:pStyle w:val="SourceNote"/>
      </w:pPr>
      <w:r>
        <w:rPr>
          <w:b/>
        </w:rPr>
        <w:t xml:space="preserve">Fuentes  </w:t>
      </w:r>
      <w:hyperlink w:anchor="s_TR027">
        <w:r>
          <w:rPr>
            <w:color w:val="245C88"/>
            <w:u w:val="single"/>
          </w:rPr>
          <w:t>TR027</w:t>
        </w:r>
      </w:hyperlink>
      <w:r>
        <w:t xml:space="preserve">, </w:t>
      </w:r>
      <w:hyperlink w:anchor="s_TR001">
        <w:r>
          <w:rPr>
            <w:color w:val="245C88"/>
            <w:u w:val="single"/>
          </w:rPr>
          <w:t>TR001</w:t>
        </w:r>
      </w:hyperlink>
      <w:r>
        <w:t xml:space="preserve">, </w:t>
      </w:r>
      <w:hyperlink w:anchor="s_TR003">
        <w:r>
          <w:rPr>
            <w:color w:val="245C88"/>
            <w:u w:val="single"/>
          </w:rPr>
          <w:t>TR003</w:t>
        </w:r>
      </w:hyperlink>
      <w:r>
        <w:t xml:space="preserve">  ·  TR027: cuerpos de agua comprendidos y actividades excluidas; TR001: derecho de agua; TR003: calidad y vertidos</w:t>
      </w:r>
      <w:r>
        <w:t xml:space="preserve">  ·  Período: Resolución Ministerial 229/015; consulta 19 de octubre de 2026</w:t>
      </w:r>
    </w:p>
    <w:p>
      <w:bookmarkStart w:id="135" w:name="fuentes"/>
      <w:pPr>
        <w:pStyle w:val="Heading1"/>
      </w:pPr>
      <w:r>
        <w:t>7 Registro de fuentes oficiales</w:t>
      </w:r>
      <w:bookmarkEnd w:id="135"/>
    </w:p>
    <w:p>
      <w:r>
        <w:t>Consulta del complemento realizada al 19 de octubre de 2026. Los enlaces de los títulos abren la fuente correspondiente. La fecha de consulta no cambia el año de una estadística, estudio o noticia. Las normas, los trámites, los antecedentes históricos, las guías técnicas y los documentos de proyecto se distinguen dentro de las fichas. El JSON conserva además la descripción y el estado de verificación de cada fuente.</w:t>
      </w:r>
    </w:p>
    <w:p>
      <w:bookmarkStart w:id="136" w:name="s_EN001"/>
      <w:pPr>
        <w:pStyle w:val="BibliographyEntry"/>
      </w:pPr>
      <w:bookmarkEnd w:id="136"/>
      <w:r>
        <w:rPr>
          <w:b/>
        </w:rPr>
        <w:t xml:space="preserve">EN001  </w:t>
      </w:r>
      <w:hyperlink r:id="rId10">
        <w:r>
          <w:rPr>
            <w:color w:val="245C88"/>
            <w:u w:val="single"/>
          </w:rPr>
          <w:t>IDL — Directrices Departamentales de Lavalleja, Decreto 3571/2019, texto compilado</w:t>
        </w:r>
      </w:hyperlink>
    </w:p>
    <w:p>
      <w:pPr>
        <w:pStyle w:val="SourceNote"/>
      </w:pPr>
      <w:r>
        <w:rPr>
          <w:b/>
        </w:rPr>
        <w:t xml:space="preserve">Localizador  </w:t>
      </w:r>
      <w:r>
        <w:t>Arts. 23, 55–60 y 75–76; modificaciones 3589/2019 señaladas en el PDF.</w:t>
      </w:r>
      <w:r>
        <w:t xml:space="preserve">  ·  Consulta 2026-10-19</w:t>
      </w:r>
    </w:p>
    <w:p>
      <w:bookmarkStart w:id="137" w:name="s_EN002"/>
      <w:pPr>
        <w:pStyle w:val="BibliographyEntry"/>
      </w:pPr>
      <w:bookmarkEnd w:id="137"/>
      <w:r>
        <w:rPr>
          <w:b/>
        </w:rPr>
        <w:t xml:space="preserve">EN002  </w:t>
      </w:r>
      <w:hyperlink r:id="rId11">
        <w:r>
          <w:rPr>
            <w:color w:val="245C88"/>
            <w:u w:val="single"/>
          </w:rPr>
          <w:t>IDL — Decreto 3701/2021, Plan Local de Villa Serrana y su entorno</w:t>
        </w:r>
      </w:hyperlink>
    </w:p>
    <w:p>
      <w:pPr>
        <w:pStyle w:val="SourceNote"/>
      </w:pPr>
      <w:r>
        <w:rPr>
          <w:b/>
        </w:rPr>
        <w:t xml:space="preserve">Localizador  </w:t>
      </w:r>
      <w:r>
        <w:t>Arts. 2, 75, 79, 83, 87, 91, 95, 99, 103, 107 y 111; plano MI.03 y cartografía integrante.</w:t>
      </w:r>
      <w:r>
        <w:t xml:space="preserve">  ·  Consulta 2026-10-19</w:t>
      </w:r>
    </w:p>
    <w:p>
      <w:bookmarkStart w:id="138" w:name="s_EN003"/>
      <w:pPr>
        <w:pStyle w:val="BibliographyEntry"/>
      </w:pPr>
      <w:bookmarkEnd w:id="138"/>
      <w:r>
        <w:rPr>
          <w:b/>
        </w:rPr>
        <w:t xml:space="preserve">EN003  </w:t>
      </w:r>
      <w:hyperlink r:id="rId12">
        <w:r>
          <w:rPr>
            <w:color w:val="245C88"/>
            <w:u w:val="single"/>
          </w:rPr>
          <w:t>IMPO — Decreto 306/024, incorporación de Arequita al SNAP</w:t>
        </w:r>
      </w:hyperlink>
    </w:p>
    <w:p>
      <w:pPr>
        <w:pStyle w:val="SourceNote"/>
      </w:pPr>
      <w:r>
        <w:rPr>
          <w:b/>
        </w:rPr>
        <w:t xml:space="preserve">Localizador  </w:t>
      </w:r>
      <w:r>
        <w:t>Arts. 1–3 y anexo de delimitación; art. 3.c, parques eólicos y alta tensión.</w:t>
      </w:r>
      <w:r>
        <w:t xml:space="preserve">  ·  Consulta 2026-10-19</w:t>
      </w:r>
    </w:p>
    <w:p>
      <w:bookmarkStart w:id="139" w:name="s_EN004"/>
      <w:pPr>
        <w:pStyle w:val="BibliographyEntry"/>
      </w:pPr>
      <w:bookmarkEnd w:id="139"/>
      <w:r>
        <w:rPr>
          <w:b/>
        </w:rPr>
        <w:t xml:space="preserve">EN004  </w:t>
      </w:r>
      <w:hyperlink r:id="rId13">
        <w:r>
          <w:rPr>
            <w:color w:val="245C88"/>
            <w:u w:val="single"/>
          </w:rPr>
          <w:t>IDL — Decreto 3659/2021, derogación de 3647/2020</w:t>
        </w:r>
      </w:hyperlink>
    </w:p>
    <w:p>
      <w:pPr>
        <w:pStyle w:val="SourceNote"/>
      </w:pPr>
      <w:r>
        <w:rPr>
          <w:b/>
        </w:rPr>
        <w:t xml:space="preserve">Localizador  </w:t>
      </w:r>
      <w:r>
        <w:t>Disposición derogatoria de 3647/2020 y vigencia integral de arts. 70 y 71 de 3571/2019.</w:t>
      </w:r>
      <w:r>
        <w:t xml:space="preserve">  ·  Consulta 2026-10-19</w:t>
      </w:r>
    </w:p>
    <w:p>
      <w:bookmarkStart w:id="140" w:name="s_EN005"/>
      <w:pPr>
        <w:pStyle w:val="BibliographyEntry"/>
      </w:pPr>
      <w:bookmarkEnd w:id="140"/>
      <w:r>
        <w:rPr>
          <w:b/>
        </w:rPr>
        <w:t xml:space="preserve">EN005  </w:t>
      </w:r>
      <w:hyperlink r:id="rId14">
        <w:r>
          <w:rPr>
            <w:color w:val="245C88"/>
            <w:u w:val="single"/>
          </w:rPr>
          <w:t>IDL — Plan Local de Desarrollo Territorial y Desarrollo Sostenible de Minas</w:t>
        </w:r>
      </w:hyperlink>
    </w:p>
    <w:p>
      <w:pPr>
        <w:pStyle w:val="SourceNote"/>
      </w:pPr>
      <w:r>
        <w:rPr>
          <w:b/>
        </w:rPr>
        <w:t xml:space="preserve">Localizador  </w:t>
      </w:r>
      <w:r>
        <w:t>Publicación del 04/12/2024, Resolución 4018/024 y documento de puesta de manifiesto.</w:t>
      </w:r>
      <w:r>
        <w:t xml:space="preserve">  ·  Consulta 2026-10-19</w:t>
      </w:r>
    </w:p>
    <w:p>
      <w:bookmarkStart w:id="141" w:name="s_EN006"/>
      <w:pPr>
        <w:pStyle w:val="BibliographyEntry"/>
      </w:pPr>
      <w:bookmarkEnd w:id="141"/>
      <w:r>
        <w:rPr>
          <w:b/>
        </w:rPr>
        <w:t xml:space="preserve">EN006  </w:t>
      </w:r>
      <w:hyperlink r:id="rId15">
        <w:r>
          <w:rPr>
            <w:color w:val="245C88"/>
            <w:u w:val="single"/>
          </w:rPr>
          <w:t>IMPO — Reglamento de evaluación de impacto ambiental, Decreto 349/005, artículo 2</w:t>
        </w:r>
      </w:hyperlink>
    </w:p>
    <w:p>
      <w:pPr>
        <w:pStyle w:val="SourceNote"/>
      </w:pPr>
      <w:r>
        <w:rPr>
          <w:b/>
        </w:rPr>
        <w:t xml:space="preserve">Localizador  </w:t>
      </w:r>
      <w:r>
        <w:t>Numerales 16 y 18; consultar las notas de modificación y demás actividades alcanzadas.</w:t>
      </w:r>
      <w:r>
        <w:t xml:space="preserve">  ·  Consulta 2026-10-19</w:t>
      </w:r>
    </w:p>
    <w:p>
      <w:bookmarkStart w:id="142" w:name="s_EN007"/>
      <w:pPr>
        <w:pStyle w:val="BibliographyEntry"/>
      </w:pPr>
      <w:bookmarkEnd w:id="142"/>
      <w:r>
        <w:rPr>
          <w:b/>
        </w:rPr>
        <w:t xml:space="preserve">EN007  </w:t>
      </w:r>
      <w:hyperlink r:id="rId16">
        <w:r>
          <w:rPr>
            <w:color w:val="245C88"/>
            <w:u w:val="single"/>
          </w:rPr>
          <w:t>IMPO — Decreto 178/009, artículo 1, modificaciones de usinas existentes</w:t>
        </w:r>
      </w:hyperlink>
    </w:p>
    <w:p>
      <w:pPr>
        <w:pStyle w:val="SourceNote"/>
      </w:pPr>
      <w:r>
        <w:rPr>
          <w:b/>
        </w:rPr>
        <w:t xml:space="preserve">Localizador  </w:t>
      </w:r>
      <w:r>
        <w:t>Artículo 1; régimen de Autorización Ambiental Especial para remodelación/ampliación de usinas.</w:t>
      </w:r>
      <w:r>
        <w:t xml:space="preserve">  ·  Consulta 2026-10-19</w:t>
      </w:r>
    </w:p>
    <w:p>
      <w:bookmarkStart w:id="143" w:name="s_EN008"/>
      <w:pPr>
        <w:pStyle w:val="BibliographyEntry"/>
      </w:pPr>
      <w:bookmarkEnd w:id="143"/>
      <w:r>
        <w:rPr>
          <w:b/>
        </w:rPr>
        <w:t xml:space="preserve">EN008  </w:t>
      </w:r>
      <w:hyperlink r:id="rId17">
        <w:r>
          <w:rPr>
            <w:color w:val="245C88"/>
            <w:u w:val="single"/>
          </w:rPr>
          <w:t>MIEM — Solicitud de autorización de generación de energía eléctrica</w:t>
        </w:r>
      </w:hyperlink>
    </w:p>
    <w:p>
      <w:pPr>
        <w:pStyle w:val="SourceNote"/>
      </w:pPr>
      <w:r>
        <w:rPr>
          <w:b/>
        </w:rPr>
        <w:t xml:space="preserve">Localizador  </w:t>
      </w:r>
      <w:r>
        <w:t>Ficha actualizada el 06/04/2026: requisitos, uso de bienes públicos, participación en el MMEE.</w:t>
      </w:r>
      <w:r>
        <w:t xml:space="preserve">  ·  Consulta 2026-10-19</w:t>
      </w:r>
    </w:p>
    <w:p>
      <w:bookmarkStart w:id="144" w:name="s_EN009"/>
      <w:pPr>
        <w:pStyle w:val="BibliographyEntry"/>
      </w:pPr>
      <w:bookmarkEnd w:id="144"/>
      <w:r>
        <w:rPr>
          <w:b/>
        </w:rPr>
        <w:t xml:space="preserve">EN009  </w:t>
      </w:r>
      <w:hyperlink r:id="rId18">
        <w:r>
          <w:rPr>
            <w:color w:val="245C88"/>
            <w:u w:val="single"/>
          </w:rPr>
          <w:t>UTE — Conexión de generación a distribución de media tensión</w:t>
        </w:r>
      </w:hyperlink>
    </w:p>
    <w:p>
      <w:pPr>
        <w:pStyle w:val="SourceNote"/>
      </w:pPr>
      <w:r>
        <w:rPr>
          <w:b/>
        </w:rPr>
        <w:t xml:space="preserve">Localizador  </w:t>
      </w:r>
      <w:r>
        <w:t>Reglamento, solicitud, convenio, garantía y criterios de estudios de conectividad.</w:t>
      </w:r>
      <w:r>
        <w:t xml:space="preserve">  ·  Consulta 2026-10-19</w:t>
      </w:r>
    </w:p>
    <w:p>
      <w:bookmarkStart w:id="145" w:name="s_EN010"/>
      <w:pPr>
        <w:pStyle w:val="BibliographyEntry"/>
      </w:pPr>
      <w:bookmarkEnd w:id="145"/>
      <w:r>
        <w:rPr>
          <w:b/>
        </w:rPr>
        <w:t xml:space="preserve">EN010  </w:t>
      </w:r>
      <w:hyperlink r:id="rId19">
        <w:r>
          <w:rPr>
            <w:color w:val="245C88"/>
            <w:u w:val="single"/>
          </w:rPr>
          <w:t>UTE — Conexión de generación a la red de transmisión</w:t>
        </w:r>
      </w:hyperlink>
    </w:p>
    <w:p>
      <w:pPr>
        <w:pStyle w:val="SourceNote"/>
      </w:pPr>
      <w:r>
        <w:rPr>
          <w:b/>
        </w:rPr>
        <w:t xml:space="preserve">Localizador  </w:t>
      </w:r>
      <w:r>
        <w:t>Normativas e información técnica para conexión a transmisión.</w:t>
      </w:r>
      <w:r>
        <w:t xml:space="preserve">  ·  Consulta 2026-10-19</w:t>
      </w:r>
    </w:p>
    <w:p>
      <w:bookmarkStart w:id="146" w:name="s_EN011"/>
      <w:pPr>
        <w:pStyle w:val="BibliographyEntry"/>
      </w:pPr>
      <w:bookmarkEnd w:id="146"/>
      <w:r>
        <w:rPr>
          <w:b/>
        </w:rPr>
        <w:t xml:space="preserve">EN011  </w:t>
      </w:r>
      <w:hyperlink r:id="rId20">
        <w:r>
          <w:rPr>
            <w:color w:val="245C88"/>
            <w:u w:val="single"/>
          </w:rPr>
          <w:t>URSEC — Registro de aerogeneradores</w:t>
        </w:r>
      </w:hyperlink>
    </w:p>
    <w:p>
      <w:pPr>
        <w:pStyle w:val="SourceNote"/>
      </w:pPr>
      <w:r>
        <w:rPr>
          <w:b/>
        </w:rPr>
        <w:t xml:space="preserve">Localizador  </w:t>
      </w:r>
      <w:r>
        <w:t>Ficha de trámite actualizada el 27/07/2026.</w:t>
      </w:r>
      <w:r>
        <w:t xml:space="preserve">  ·  Consulta 2026-10-19</w:t>
      </w:r>
    </w:p>
    <w:p>
      <w:bookmarkStart w:id="147" w:name="s_EN012"/>
      <w:pPr>
        <w:pStyle w:val="BibliographyEntry"/>
      </w:pPr>
      <w:bookmarkEnd w:id="147"/>
      <w:r>
        <w:rPr>
          <w:b/>
        </w:rPr>
        <w:t xml:space="preserve">EN012  </w:t>
      </w:r>
      <w:hyperlink r:id="rId21">
        <w:r>
          <w:rPr>
            <w:color w:val="245C88"/>
            <w:u w:val="single"/>
          </w:rPr>
          <w:t>Ministerio de Ambiente — Guía para la evaluación de impacto ambiental de parques eólicos</w:t>
        </w:r>
      </w:hyperlink>
    </w:p>
    <w:p>
      <w:pPr>
        <w:pStyle w:val="SourceNote"/>
      </w:pPr>
      <w:r>
        <w:rPr>
          <w:b/>
        </w:rPr>
        <w:t xml:space="preserve">Localizador  </w:t>
      </w:r>
      <w:r>
        <w:t>Guía técnica GU-EIA-006-00, versión 01/07/2015; localización, paisaje, biodiversidad, ruido y sombra.</w:t>
      </w:r>
      <w:r>
        <w:t xml:space="preserve">  ·  Consulta 2026-10-19</w:t>
      </w:r>
    </w:p>
    <w:p>
      <w:bookmarkStart w:id="148" w:name="s_EN013"/>
      <w:pPr>
        <w:pStyle w:val="BibliographyEntry"/>
      </w:pPr>
      <w:bookmarkEnd w:id="148"/>
      <w:r>
        <w:rPr>
          <w:b/>
        </w:rPr>
        <w:t xml:space="preserve">EN013  </w:t>
      </w:r>
      <w:hyperlink r:id="rId22">
        <w:r>
          <w:rPr>
            <w:color w:val="245C88"/>
            <w:u w:val="single"/>
          </w:rPr>
          <w:t>Ministerio de Ambiente — Resolución 561/018 e instructivo de renovación de AAO eólica</w:t>
        </w:r>
      </w:hyperlink>
    </w:p>
    <w:p>
      <w:pPr>
        <w:pStyle w:val="SourceNote"/>
      </w:pPr>
      <w:r>
        <w:rPr>
          <w:b/>
        </w:rPr>
        <w:t xml:space="preserve">Localizador  </w:t>
      </w:r>
      <w:r>
        <w:t>Resolución del 14/05/2018 y documento adjunto de renovación de Autorización Ambiental de Operación.</w:t>
      </w:r>
      <w:r>
        <w:t xml:space="preserve">  ·  Consulta 2026-10-19</w:t>
      </w:r>
    </w:p>
    <w:p>
      <w:bookmarkStart w:id="149" w:name="s_EN014"/>
      <w:pPr>
        <w:pStyle w:val="BibliographyEntry"/>
      </w:pPr>
      <w:bookmarkEnd w:id="149"/>
      <w:r>
        <w:rPr>
          <w:b/>
        </w:rPr>
        <w:t xml:space="preserve">EN014  </w:t>
      </w:r>
      <w:hyperlink r:id="rId23">
        <w:r>
          <w:rPr>
            <w:color w:val="245C88"/>
            <w:u w:val="single"/>
          </w:rPr>
          <w:t>MIEM — Registro o autorización de generación en suscriptor</w:t>
        </w:r>
      </w:hyperlink>
    </w:p>
    <w:p>
      <w:pPr>
        <w:pStyle w:val="SourceNote"/>
      </w:pPr>
      <w:r>
        <w:rPr>
          <w:b/>
        </w:rPr>
        <w:t xml:space="preserve">Localizador  </w:t>
      </w:r>
      <w:r>
        <w:t>Ficha actualizada el 03/08/2026; umbral 150 kW, instalaciones conectadas y aisladas.</w:t>
      </w:r>
      <w:r>
        <w:t xml:space="preserve">  ·  Consulta 2026-10-19</w:t>
      </w:r>
    </w:p>
    <w:p>
      <w:bookmarkStart w:id="150" w:name="s_EN015"/>
      <w:pPr>
        <w:pStyle w:val="BibliographyEntry"/>
      </w:pPr>
      <w:bookmarkEnd w:id="150"/>
      <w:r>
        <w:rPr>
          <w:b/>
        </w:rPr>
        <w:t xml:space="preserve">EN015  </w:t>
      </w:r>
      <w:hyperlink r:id="rId24">
        <w:r>
          <w:rPr>
            <w:color w:val="245C88"/>
            <w:u w:val="single"/>
          </w:rPr>
          <w:t>IMPO — Decreto 147/023, generación y acumulación para autoconsumo</w:t>
        </w:r>
      </w:hyperlink>
    </w:p>
    <w:p>
      <w:pPr>
        <w:pStyle w:val="SourceNote"/>
      </w:pPr>
      <w:r>
        <w:rPr>
          <w:b/>
        </w:rPr>
        <w:t xml:space="preserve">Localizador  </w:t>
      </w:r>
      <w:r>
        <w:t>Arts. 1–5; art. 4, balance anual, baterías y precio spot; notas de modificación 124/024.</w:t>
      </w:r>
      <w:r>
        <w:t xml:space="preserve">  ·  Consulta 2026-10-19</w:t>
      </w:r>
    </w:p>
    <w:p>
      <w:bookmarkStart w:id="151" w:name="s_EN016"/>
      <w:pPr>
        <w:pStyle w:val="BibliographyEntry"/>
      </w:pPr>
      <w:bookmarkEnd w:id="151"/>
      <w:r>
        <w:rPr>
          <w:b/>
        </w:rPr>
        <w:t xml:space="preserve">EN016  </w:t>
      </w:r>
      <w:hyperlink r:id="rId25">
        <w:r>
          <w:rPr>
            <w:color w:val="245C88"/>
            <w:u w:val="single"/>
          </w:rPr>
          <w:t>UTE — Suscriptor con generación e instalación para autoconsumo</w:t>
        </w:r>
      </w:hyperlink>
    </w:p>
    <w:p>
      <w:pPr>
        <w:pStyle w:val="SourceNote"/>
      </w:pPr>
      <w:r>
        <w:rPr>
          <w:b/>
        </w:rPr>
        <w:t xml:space="preserve">Localizador  </w:t>
      </w:r>
      <w:r>
        <w:t>Requisitos y condiciones, trámite, compra de excedentes; aviso sobre resolución MIEM del 08/04/2026.</w:t>
      </w:r>
      <w:r>
        <w:t xml:space="preserve">  ·  Consulta 2026-10-19</w:t>
      </w:r>
    </w:p>
    <w:p>
      <w:bookmarkStart w:id="152" w:name="s_EN017"/>
      <w:pPr>
        <w:pStyle w:val="BibliographyEntry"/>
      </w:pPr>
      <w:bookmarkEnd w:id="152"/>
      <w:r>
        <w:rPr>
          <w:b/>
        </w:rPr>
        <w:t xml:space="preserve">EN017  </w:t>
      </w:r>
      <w:hyperlink r:id="rId26">
        <w:r>
          <w:rPr>
            <w:color w:val="245C88"/>
            <w:u w:val="single"/>
          </w:rPr>
          <w:t>MIEM — Publicaciones sobre energía solar en Uruguay</w:t>
        </w:r>
      </w:hyperlink>
    </w:p>
    <w:p>
      <w:pPr>
        <w:pStyle w:val="SourceNote"/>
      </w:pPr>
      <w:r>
        <w:rPr>
          <w:b/>
        </w:rPr>
        <w:t xml:space="preserve">Localizador  </w:t>
      </w:r>
      <w:r>
        <w:t>Repositorio oficial de estudios sobre recurso y tecnología solar.</w:t>
      </w:r>
      <w:r>
        <w:t xml:space="preserve">  ·  Consulta 2026-10-19</w:t>
      </w:r>
    </w:p>
    <w:p>
      <w:bookmarkStart w:id="153" w:name="s_EN018"/>
      <w:pPr>
        <w:pStyle w:val="BibliographyEntry"/>
      </w:pPr>
      <w:bookmarkEnd w:id="153"/>
      <w:r>
        <w:rPr>
          <w:b/>
        </w:rPr>
        <w:t xml:space="preserve">EN018  </w:t>
      </w:r>
      <w:hyperlink r:id="rId27">
        <w:r>
          <w:rPr>
            <w:color w:val="245C88"/>
            <w:u w:val="single"/>
          </w:rPr>
          <w:t>MIEM — Mapa Solar del Uruguay, primera versión</w:t>
        </w:r>
      </w:hyperlink>
    </w:p>
    <w:p>
      <w:pPr>
        <w:pStyle w:val="SourceNote"/>
      </w:pPr>
      <w:r>
        <w:rPr>
          <w:b/>
        </w:rPr>
        <w:t xml:space="preserve">Localizador  </w:t>
      </w:r>
      <w:r>
        <w:t>Primera versión 2009–2010; climatología y mapas mensuales/anuales.</w:t>
      </w:r>
      <w:r>
        <w:t xml:space="preserve">  ·  Consulta 2026-10-19</w:t>
      </w:r>
    </w:p>
    <w:p>
      <w:bookmarkStart w:id="154" w:name="s_EN019"/>
      <w:pPr>
        <w:pStyle w:val="BibliographyEntry"/>
      </w:pPr>
      <w:bookmarkEnd w:id="154"/>
      <w:r>
        <w:rPr>
          <w:b/>
        </w:rPr>
        <w:t xml:space="preserve">EN019  </w:t>
      </w:r>
      <w:hyperlink r:id="rId28">
        <w:r>
          <w:rPr>
            <w:color w:val="245C88"/>
            <w:u w:val="single"/>
          </w:rPr>
          <w:t>Ministerio de Ambiente, OAN — Guía preliminar de EIA para plantas solares fotovoltaicas</w:t>
        </w:r>
      </w:hyperlink>
    </w:p>
    <w:p>
      <w:pPr>
        <w:pStyle w:val="SourceNote"/>
      </w:pPr>
      <w:r>
        <w:rPr>
          <w:b/>
        </w:rPr>
        <w:t xml:space="preserve">Localizador  </w:t>
      </w:r>
      <w:r>
        <w:t>Publicación de consulta y documento preliminar de septiembre de 2021.</w:t>
      </w:r>
      <w:r>
        <w:t xml:space="preserve">  ·  Consulta 2026-10-19</w:t>
      </w:r>
    </w:p>
    <w:p>
      <w:bookmarkStart w:id="155" w:name="s_EN020"/>
      <w:pPr>
        <w:pStyle w:val="BibliographyEntry"/>
      </w:pPr>
      <w:bookmarkEnd w:id="155"/>
      <w:r>
        <w:rPr>
          <w:b/>
        </w:rPr>
        <w:t xml:space="preserve">EN020  </w:t>
      </w:r>
      <w:hyperlink r:id="rId29">
        <w:r>
          <w:rPr>
            <w:color w:val="245C88"/>
            <w:u w:val="single"/>
          </w:rPr>
          <w:t>IMPO — Ley 18.585, energía solar térmica</w:t>
        </w:r>
      </w:hyperlink>
    </w:p>
    <w:p>
      <w:pPr>
        <w:pStyle w:val="SourceNote"/>
      </w:pPr>
      <w:r>
        <w:rPr>
          <w:b/>
        </w:rPr>
        <w:t xml:space="preserve">Localizador  </w:t>
      </w:r>
      <w:r>
        <w:t>Arts. 3–5, 7 y 8; promulgación 18/09/2009.</w:t>
      </w:r>
      <w:r>
        <w:t xml:space="preserve">  ·  Consulta 2026-10-19</w:t>
      </w:r>
    </w:p>
    <w:p>
      <w:bookmarkStart w:id="156" w:name="s_EN021"/>
      <w:pPr>
        <w:pStyle w:val="BibliographyEntry"/>
      </w:pPr>
      <w:bookmarkEnd w:id="156"/>
      <w:r>
        <w:rPr>
          <w:b/>
        </w:rPr>
        <w:t xml:space="preserve">EN021  </w:t>
      </w:r>
      <w:hyperlink r:id="rId30">
        <w:r>
          <w:rPr>
            <w:color w:val="245C88"/>
            <w:u w:val="single"/>
          </w:rPr>
          <w:t>URSEA — Resolución 183/022, actualización del instructivo técnico de energía solar térmica</w:t>
        </w:r>
      </w:hyperlink>
    </w:p>
    <w:p>
      <w:pPr>
        <w:pStyle w:val="SourceNote"/>
      </w:pPr>
      <w:r>
        <w:rPr>
          <w:b/>
        </w:rPr>
        <w:t xml:space="preserve">Localizador  </w:t>
      </w:r>
      <w:r>
        <w:t>Instructivo técnico IT 2022; definiciones de hotelería, constancias y exoneraciones.</w:t>
      </w:r>
      <w:r>
        <w:t xml:space="preserve">  ·  Consulta 2026-10-19</w:t>
      </w:r>
    </w:p>
    <w:p>
      <w:bookmarkStart w:id="157" w:name="s_EN022"/>
      <w:pPr>
        <w:pStyle w:val="BibliographyEntry"/>
      </w:pPr>
      <w:bookmarkEnd w:id="157"/>
      <w:r>
        <w:rPr>
          <w:b/>
        </w:rPr>
        <w:t xml:space="preserve">EN022  </w:t>
      </w:r>
      <w:hyperlink r:id="rId31">
        <w:r>
          <w:rPr>
            <w:color w:val="245C88"/>
            <w:u w:val="single"/>
          </w:rPr>
          <w:t>MIEM — Generación de energía a partir de biomasa</w:t>
        </w:r>
      </w:hyperlink>
    </w:p>
    <w:p>
      <w:pPr>
        <w:pStyle w:val="SourceNote"/>
      </w:pPr>
      <w:r>
        <w:rPr>
          <w:b/>
        </w:rPr>
        <w:t xml:space="preserve">Localizador  </w:t>
      </w:r>
      <w:r>
        <w:t>Publicación del 01/07/2022; tecnologías, escala y características del combustible.</w:t>
      </w:r>
      <w:r>
        <w:t xml:space="preserve">  ·  Consulta 2026-10-19</w:t>
      </w:r>
    </w:p>
    <w:p>
      <w:bookmarkStart w:id="158" w:name="s_EN023"/>
      <w:pPr>
        <w:pStyle w:val="BibliographyEntry"/>
      </w:pPr>
      <w:bookmarkEnd w:id="158"/>
      <w:r>
        <w:rPr>
          <w:b/>
        </w:rPr>
        <w:t xml:space="preserve">EN023  </w:t>
      </w:r>
      <w:hyperlink r:id="rId32">
        <w:r>
          <w:rPr>
            <w:color w:val="245C88"/>
            <w:u w:val="single"/>
          </w:rPr>
          <w:t>MIEM — Mapas Biovalor</w:t>
        </w:r>
      </w:hyperlink>
    </w:p>
    <w:p>
      <w:pPr>
        <w:pStyle w:val="SourceNote"/>
      </w:pPr>
      <w:r>
        <w:rPr>
          <w:b/>
        </w:rPr>
        <w:t xml:space="preserve">Localizador  </w:t>
      </w:r>
      <w:r>
        <w:t>Repositorio publicado el 06/05/2025; mapas sectoriales y por sección policial producidos en Biovalor 2014–2020.</w:t>
      </w:r>
      <w:r>
        <w:t xml:space="preserve">  ·  Consulta 2026-10-19</w:t>
      </w:r>
    </w:p>
    <w:p>
      <w:bookmarkStart w:id="159" w:name="s_EN024"/>
      <w:pPr>
        <w:pStyle w:val="BibliographyEntry"/>
      </w:pPr>
      <w:bookmarkEnd w:id="159"/>
      <w:r>
        <w:rPr>
          <w:b/>
        </w:rPr>
        <w:t xml:space="preserve">EN024  </w:t>
      </w:r>
      <w:hyperlink r:id="rId33">
        <w:r>
          <w:rPr>
            <w:color w:val="245C88"/>
            <w:u w:val="single"/>
          </w:rPr>
          <w:t>MIEM — Documentos técnicos Biovalor</w:t>
        </w:r>
      </w:hyperlink>
    </w:p>
    <w:p>
      <w:pPr>
        <w:pStyle w:val="SourceNote"/>
      </w:pPr>
      <w:r>
        <w:rPr>
          <w:b/>
        </w:rPr>
        <w:t xml:space="preserve">Localizador  </w:t>
      </w:r>
      <w:r>
        <w:t>Repositorio publicado el 05/05/2025; estudios del proyecto 2014–2020, biogás, tambos y valorización.</w:t>
      </w:r>
      <w:r>
        <w:t xml:space="preserve">  ·  Consulta 2026-10-19</w:t>
      </w:r>
    </w:p>
    <w:p>
      <w:bookmarkStart w:id="160" w:name="s_EN025"/>
      <w:pPr>
        <w:pStyle w:val="BibliographyEntry"/>
      </w:pPr>
      <w:bookmarkEnd w:id="160"/>
      <w:r>
        <w:rPr>
          <w:b/>
        </w:rPr>
        <w:t xml:space="preserve">EN025  </w:t>
      </w:r>
      <w:hyperlink r:id="rId34">
        <w:r>
          <w:rPr>
            <w:color w:val="245C88"/>
            <w:u w:val="single"/>
          </w:rPr>
          <w:t>MIEM — Información para desarrolladores de hidrógeno verde</w:t>
        </w:r>
      </w:hyperlink>
    </w:p>
    <w:p>
      <w:pPr>
        <w:pStyle w:val="SourceNote"/>
      </w:pPr>
      <w:r>
        <w:rPr>
          <w:b/>
        </w:rPr>
        <w:t xml:space="preserve">Localizador  </w:t>
      </w:r>
      <w:r>
        <w:t>Localización, autorizaciones, agua y tabla de CO2 biogénico estimado de generadores eléctricos de biomasa 2021/2022.</w:t>
      </w:r>
      <w:r>
        <w:t xml:space="preserve">  ·  Consulta 2026-10-19</w:t>
      </w:r>
    </w:p>
    <w:p>
      <w:bookmarkStart w:id="161" w:name="s_EN026"/>
      <w:pPr>
        <w:pStyle w:val="BibliographyEntry"/>
      </w:pPr>
      <w:bookmarkEnd w:id="161"/>
      <w:r>
        <w:rPr>
          <w:b/>
        </w:rPr>
        <w:t xml:space="preserve">EN026  </w:t>
      </w:r>
      <w:hyperlink r:id="rId35">
        <w:r>
          <w:rPr>
            <w:color w:val="245C88"/>
            <w:u w:val="single"/>
          </w:rPr>
          <w:t>MTSS/MIEM — Prospectiva de empleo en hidrógeno verde en Uruguay</w:t>
        </w:r>
      </w:hyperlink>
    </w:p>
    <w:p>
      <w:pPr>
        <w:pStyle w:val="SourceNote"/>
      </w:pPr>
      <w:r>
        <w:rPr>
          <w:b/>
        </w:rPr>
        <w:t xml:space="preserve">Localizador  </w:t>
      </w:r>
      <w:r>
        <w:t>PDF, pp. 6–7 y escenarios/cadena de valor; recurso eólico en límite Lavalleja–Florida–Treinta y Tres.</w:t>
      </w:r>
      <w:r>
        <w:t xml:space="preserve">  ·  Consulta 2026-10-19</w:t>
      </w:r>
    </w:p>
    <w:p>
      <w:bookmarkStart w:id="162" w:name="s_EN027"/>
      <w:pPr>
        <w:pStyle w:val="BibliographyEntry"/>
      </w:pPr>
      <w:bookmarkEnd w:id="162"/>
      <w:r>
        <w:rPr>
          <w:b/>
        </w:rPr>
        <w:t xml:space="preserve">EN027  </w:t>
      </w:r>
      <w:hyperlink r:id="rId36">
        <w:r>
          <w:rPr>
            <w:color w:val="245C88"/>
            <w:u w:val="single"/>
          </w:rPr>
          <w:t>UTE — Almacenar, el nuevo desafío de la generación renovable</w:t>
        </w:r>
      </w:hyperlink>
    </w:p>
    <w:p>
      <w:pPr>
        <w:pStyle w:val="SourceNote"/>
      </w:pPr>
      <w:r>
        <w:rPr>
          <w:b/>
        </w:rPr>
        <w:t xml:space="preserve">Localizador  </w:t>
      </w:r>
      <w:r>
        <w:t>Comunicación institucional sobre almacenamiento, excedentes y respaldo.</w:t>
      </w:r>
      <w:r>
        <w:t xml:space="preserve">  ·  Consulta 2026-10-19</w:t>
      </w:r>
    </w:p>
    <w:p>
      <w:bookmarkStart w:id="163" w:name="s_EN028"/>
      <w:pPr>
        <w:pStyle w:val="BibliographyEntry"/>
      </w:pPr>
      <w:bookmarkEnd w:id="163"/>
      <w:r>
        <w:rPr>
          <w:b/>
        </w:rPr>
        <w:t xml:space="preserve">EN028  </w:t>
      </w:r>
      <w:hyperlink r:id="rId37">
        <w:r>
          <w:rPr>
            <w:color w:val="245C88"/>
            <w:u w:val="single"/>
          </w:rPr>
          <w:t>UTE — Movilidad sostenible</w:t>
        </w:r>
      </w:hyperlink>
    </w:p>
    <w:p>
      <w:pPr>
        <w:pStyle w:val="SourceNote"/>
      </w:pPr>
      <w:r>
        <w:rPr>
          <w:b/>
        </w:rPr>
        <w:t xml:space="preserve">Localizador  </w:t>
      </w:r>
      <w:r>
        <w:t>Canales oficiales de carga pública, operadores de carga, UTE Mueve y flotas.</w:t>
      </w:r>
      <w:r>
        <w:t xml:space="preserve">  ·  Consulta 2026-10-19</w:t>
      </w:r>
    </w:p>
    <w:p>
      <w:bookmarkStart w:id="164" w:name="s_EN029"/>
      <w:pPr>
        <w:pStyle w:val="BibliographyEntry"/>
      </w:pPr>
      <w:bookmarkEnd w:id="164"/>
      <w:r>
        <w:rPr>
          <w:b/>
        </w:rPr>
        <w:t xml:space="preserve">EN029  </w:t>
      </w:r>
      <w:hyperlink r:id="rId38">
        <w:r>
          <w:rPr>
            <w:color w:val="245C88"/>
            <w:u w:val="single"/>
          </w:rPr>
          <w:t>UTE — La ruta eléctrica incorpora el Parque de Minas</w:t>
        </w:r>
      </w:hyperlink>
    </w:p>
    <w:p>
      <w:pPr>
        <w:pStyle w:val="SourceNote"/>
      </w:pPr>
      <w:r>
        <w:rPr>
          <w:b/>
        </w:rPr>
        <w:t xml:space="preserve">Localizador  </w:t>
      </w:r>
      <w:r>
        <w:t>Noticia de 2023 sobre inauguración de dos puntos de carga en Parque de Minas.</w:t>
      </w:r>
      <w:r>
        <w:t xml:space="preserve">  ·  Consulta 2026-10-19</w:t>
      </w:r>
    </w:p>
    <w:p>
      <w:bookmarkStart w:id="165" w:name="s_EN030"/>
      <w:pPr>
        <w:pStyle w:val="BibliographyEntry"/>
      </w:pPr>
      <w:bookmarkEnd w:id="165"/>
      <w:r>
        <w:rPr>
          <w:b/>
        </w:rPr>
        <w:t xml:space="preserve">EN030  </w:t>
      </w:r>
      <w:hyperlink r:id="rId39">
        <w:r>
          <w:rPr>
            <w:color w:val="245C88"/>
            <w:u w:val="single"/>
          </w:rPr>
          <w:t>MIEM — CEE 2026, medidas de eficiencia energética estandarizadas</w:t>
        </w:r>
      </w:hyperlink>
    </w:p>
    <w:p>
      <w:pPr>
        <w:pStyle w:val="SourceNote"/>
      </w:pPr>
      <w:r>
        <w:rPr>
          <w:b/>
        </w:rPr>
        <w:t xml:space="preserve">Localizador  </w:t>
      </w:r>
      <w:r>
        <w:t>Convocatoria 24/06/2026–15/12/2026; modalidades, antigüedad, límites y bases.</w:t>
      </w:r>
      <w:r>
        <w:t xml:space="preserve">  ·  Consulta 2026-10-19</w:t>
      </w:r>
    </w:p>
    <w:p>
      <w:bookmarkStart w:id="166" w:name="s_EN031"/>
      <w:pPr>
        <w:pStyle w:val="BibliographyEntry"/>
      </w:pPr>
      <w:bookmarkEnd w:id="166"/>
      <w:r>
        <w:rPr>
          <w:b/>
        </w:rPr>
        <w:t xml:space="preserve">EN031  </w:t>
      </w:r>
      <w:hyperlink r:id="rId40">
        <w:r>
          <w:rPr>
            <w:color w:val="245C88"/>
            <w:u w:val="single"/>
          </w:rPr>
          <w:t>MIEM — CEE 2026, medidas de eficiencia energética no estandarizadas</w:t>
        </w:r>
      </w:hyperlink>
    </w:p>
    <w:p>
      <w:pPr>
        <w:pStyle w:val="SourceNote"/>
      </w:pPr>
      <w:r>
        <w:rPr>
          <w:b/>
        </w:rPr>
        <w:t xml:space="preserve">Localizador  </w:t>
      </w:r>
      <w:r>
        <w:t>Inicio de operación 01/07/2024–30/06/2025; planes hasta 24/07/2026, postulación hasta 27/10/2026 11:00.</w:t>
      </w:r>
      <w:r>
        <w:t xml:space="preserve">  ·  Consulta 2026-10-19</w:t>
      </w:r>
    </w:p>
    <w:p>
      <w:bookmarkStart w:id="167" w:name="s_EN032"/>
      <w:pPr>
        <w:pStyle w:val="BibliographyEntry"/>
      </w:pPr>
      <w:bookmarkEnd w:id="167"/>
      <w:r>
        <w:rPr>
          <w:b/>
        </w:rPr>
        <w:t xml:space="preserve">EN032  </w:t>
      </w:r>
      <w:hyperlink r:id="rId41">
        <w:r>
          <w:rPr>
            <w:color w:val="245C88"/>
            <w:u w:val="single"/>
          </w:rPr>
          <w:t>ADME — Participantes generadores del Mercado Mayorista de Energía Eléctrica</w:t>
        </w:r>
      </w:hyperlink>
    </w:p>
    <w:p>
      <w:pPr>
        <w:pStyle w:val="SourceNote"/>
      </w:pPr>
      <w:r>
        <w:rPr>
          <w:b/>
        </w:rPr>
        <w:t xml:space="preserve">Localizador  </w:t>
      </w:r>
      <w:r>
        <w:t>Tabla consultada al 19/10/2026: Minas I, Solís de Mataojo, Maldonado y Maldonado II.</w:t>
      </w:r>
      <w:r>
        <w:t xml:space="preserve">  ·  Consulta 2026-10-19</w:t>
      </w:r>
    </w:p>
    <w:p>
      <w:bookmarkStart w:id="168" w:name="s_EN033"/>
      <w:pPr>
        <w:pStyle w:val="BibliographyEntry"/>
      </w:pPr>
      <w:bookmarkEnd w:id="168"/>
      <w:r>
        <w:rPr>
          <w:b/>
        </w:rPr>
        <w:t xml:space="preserve">EN033  </w:t>
      </w:r>
      <w:hyperlink r:id="rId42">
        <w:r>
          <w:rPr>
            <w:color w:val="245C88"/>
            <w:u w:val="single"/>
          </w:rPr>
          <w:t>Ministerio de Ambiente, expediente público — IAR Parque Eólico Minas I</w:t>
        </w:r>
      </w:hyperlink>
    </w:p>
    <w:p>
      <w:pPr>
        <w:pStyle w:val="SourceNote"/>
      </w:pPr>
      <w:r>
        <w:rPr>
          <w:b/>
        </w:rPr>
        <w:t xml:space="preserve">Localizador  </w:t>
      </w:r>
      <w:r>
        <w:t>Informe de septiembre de 2012, sección 2.1–2.2, p. impresa 9 / página 15 del PDF.</w:t>
      </w:r>
      <w:r>
        <w:t xml:space="preserve">  ·  Consulta 2026-10-19</w:t>
      </w:r>
    </w:p>
    <w:p>
      <w:bookmarkStart w:id="169" w:name="s_EN034"/>
      <w:pPr>
        <w:pStyle w:val="BibliographyEntry"/>
      </w:pPr>
      <w:bookmarkEnd w:id="169"/>
      <w:r>
        <w:rPr>
          <w:b/>
        </w:rPr>
        <w:t xml:space="preserve">EN034  </w:t>
      </w:r>
      <w:hyperlink r:id="rId43">
        <w:r>
          <w:rPr>
            <w:color w:val="245C88"/>
            <w:u w:val="single"/>
          </w:rPr>
          <w:t>MIEM — Resolución del Poder Ejecutivo 583/015, R del Sur S.A.</w:t>
        </w:r>
      </w:hyperlink>
    </w:p>
    <w:p>
      <w:pPr>
        <w:pStyle w:val="SourceNote"/>
      </w:pPr>
      <w:r>
        <w:rPr>
          <w:b/>
        </w:rPr>
        <w:t xml:space="preserve">Localizador  </w:t>
      </w:r>
      <w:r>
        <w:t>Ficha institucional fechada 04/05/2015 y enlace a IMPO.</w:t>
      </w:r>
      <w:r>
        <w:t xml:space="preserve">  ·  Consulta 2026-10-19</w:t>
      </w:r>
    </w:p>
    <w:p>
      <w:bookmarkStart w:id="170" w:name="s_EN035"/>
      <w:pPr>
        <w:pStyle w:val="BibliographyEntry"/>
      </w:pPr>
      <w:bookmarkEnd w:id="170"/>
      <w:r>
        <w:rPr>
          <w:b/>
        </w:rPr>
        <w:t xml:space="preserve">EN035  </w:t>
      </w:r>
      <w:hyperlink r:id="rId44">
        <w:r>
          <w:rPr>
            <w:color w:val="245C88"/>
            <w:u w:val="single"/>
          </w:rPr>
          <w:t>MIEM — Resolución del Poder Ejecutivo 907/015, R del Este S.A.</w:t>
        </w:r>
      </w:hyperlink>
    </w:p>
    <w:p>
      <w:pPr>
        <w:pStyle w:val="SourceNote"/>
      </w:pPr>
      <w:r>
        <w:rPr>
          <w:b/>
        </w:rPr>
        <w:t xml:space="preserve">Localizador  </w:t>
      </w:r>
      <w:r>
        <w:t>Ficha institucional fechada 23/09/2015 y enlace a IMPO.</w:t>
      </w:r>
      <w:r>
        <w:t xml:space="preserve">  ·  Consulta 2026-10-19</w:t>
      </w:r>
    </w:p>
    <w:p>
      <w:bookmarkStart w:id="171" w:name="s_AG001"/>
      <w:pPr>
        <w:pStyle w:val="BibliographyEntry"/>
      </w:pPr>
      <w:bookmarkEnd w:id="171"/>
      <w:r>
        <w:rPr>
          <w:b/>
        </w:rPr>
        <w:t xml:space="preserve">AG001  </w:t>
      </w:r>
      <w:hyperlink r:id="rId45">
        <w:r>
          <w:rPr>
            <w:color w:val="245C88"/>
            <w:u w:val="single"/>
          </w:rPr>
          <w:t>Censo General Agropecuario 2024, volumen I, resultados finales</w:t>
        </w:r>
      </w:hyperlink>
    </w:p>
    <w:p>
      <w:pPr>
        <w:pStyle w:val="SourceNote"/>
      </w:pPr>
      <w:r>
        <w:rPr>
          <w:b/>
        </w:rPr>
        <w:t xml:space="preserve">Localizador  </w:t>
      </w:r>
      <w:r>
        <w:t>Cuadro 88, Lavalleja: explotaciones y superficie según principal fuente de ingreso; página 58 del PDF (índice 57).</w:t>
      </w:r>
      <w:r>
        <w:t xml:space="preserve">  ·  Consulta 2026-10-19</w:t>
      </w:r>
    </w:p>
    <w:p>
      <w:bookmarkStart w:id="172" w:name="s_AG002"/>
      <w:pPr>
        <w:pStyle w:val="BibliographyEntry"/>
      </w:pPr>
      <w:bookmarkEnd w:id="172"/>
      <w:r>
        <w:rPr>
          <w:b/>
        </w:rPr>
        <w:t xml:space="preserve">AG002  </w:t>
      </w:r>
      <w:hyperlink r:id="rId46">
        <w:r>
          <w:rPr>
            <w:color w:val="245C88"/>
            <w:u w:val="single"/>
          </w:rPr>
          <w:t>Consulta CONEAT: índices, grupos y prioridad forestal</w:t>
        </w:r>
      </w:hyperlink>
    </w:p>
    <w:p>
      <w:pPr>
        <w:pStyle w:val="SourceNote"/>
      </w:pPr>
      <w:r>
        <w:rPr>
          <w:b/>
        </w:rPr>
        <w:t xml:space="preserve">Localizador  </w:t>
      </w:r>
      <w:r>
        <w:t>Apartados Consulta de Índices y Grupos de Suelo; servicio por padrón; Consulta de Grupos de Suelos de Prioridad Forestal.</w:t>
      </w:r>
      <w:r>
        <w:t xml:space="preserve">  ·  Consulta 2026-10-19</w:t>
      </w:r>
    </w:p>
    <w:p>
      <w:bookmarkStart w:id="173" w:name="s_AG003"/>
      <w:pPr>
        <w:pStyle w:val="BibliographyEntry"/>
      </w:pPr>
      <w:bookmarkEnd w:id="173"/>
      <w:r>
        <w:rPr>
          <w:b/>
        </w:rPr>
        <w:t xml:space="preserve">AG003  </w:t>
      </w:r>
      <w:hyperlink r:id="rId47">
        <w:r>
          <w:rPr>
            <w:color w:val="245C88"/>
            <w:u w:val="single"/>
          </w:rPr>
          <w:t>Día Nacional de Conservación de Suelos: SGPU 2.0</w:t>
        </w:r>
      </w:hyperlink>
    </w:p>
    <w:p>
      <w:pPr>
        <w:pStyle w:val="SourceNote"/>
      </w:pPr>
      <w:r>
        <w:rPr>
          <w:b/>
        </w:rPr>
        <w:t xml:space="preserve">Localizador  </w:t>
      </w:r>
      <w:r>
        <w:t>Apartados relativos al SGPU 2.0, PUMRS, PUSA y PLS.</w:t>
      </w:r>
      <w:r>
        <w:t xml:space="preserve">  ·  Consulta 2026-10-19</w:t>
      </w:r>
    </w:p>
    <w:p>
      <w:bookmarkStart w:id="174" w:name="s_AG004"/>
      <w:pPr>
        <w:pStyle w:val="BibliographyEntry"/>
      </w:pPr>
      <w:bookmarkEnd w:id="174"/>
      <w:r>
        <w:rPr>
          <w:b/>
        </w:rPr>
        <w:t xml:space="preserve">AG004  </w:t>
      </w:r>
      <w:hyperlink r:id="rId48">
        <w:r>
          <w:rPr>
            <w:color w:val="245C88"/>
            <w:u w:val="single"/>
          </w:rPr>
          <w:t>Memoria Informativa de las Directrices Departamentales</w:t>
        </w:r>
      </w:hyperlink>
    </w:p>
    <w:p>
      <w:pPr>
        <w:pStyle w:val="SourceNote"/>
      </w:pPr>
      <w:r>
        <w:rPr>
          <w:b/>
        </w:rPr>
        <w:t xml:space="preserve">Localizador  </w:t>
      </w:r>
      <w:r>
        <w:t>Secciones Cultivo de arroz, Agricultura y lechería, Explotación minera; localidades Mariscala y Zapicán. Buscar los subtítulos y topónimos en el PDF de 107 páginas.</w:t>
      </w:r>
      <w:r>
        <w:t xml:space="preserve">  ·  Consulta 2026-10-19</w:t>
      </w:r>
    </w:p>
    <w:p>
      <w:bookmarkStart w:id="175" w:name="s_AG005"/>
      <w:pPr>
        <w:pStyle w:val="BibliographyEntry"/>
      </w:pPr>
      <w:bookmarkEnd w:id="175"/>
      <w:r>
        <w:rPr>
          <w:b/>
        </w:rPr>
        <w:t xml:space="preserve">AG005  </w:t>
      </w:r>
      <w:hyperlink r:id="rId49">
        <w:r>
          <w:rPr>
            <w:color w:val="245C88"/>
            <w:u w:val="single"/>
          </w:rPr>
          <w:t>Solicitud de habilitación de queserías artesanales</w:t>
        </w:r>
      </w:hyperlink>
    </w:p>
    <w:p>
      <w:pPr>
        <w:pStyle w:val="SourceNote"/>
      </w:pPr>
      <w:r>
        <w:rPr>
          <w:b/>
        </w:rPr>
        <w:t xml:space="preserve">Localizador  </w:t>
      </w:r>
      <w:r>
        <w:t>Formulario y documentación de habilitación de queserías artesanales.</w:t>
      </w:r>
      <w:r>
        <w:t xml:space="preserve">  ·  Consulta 2026-10-19</w:t>
      </w:r>
    </w:p>
    <w:p>
      <w:bookmarkStart w:id="176" w:name="s_AG006"/>
      <w:pPr>
        <w:pStyle w:val="BibliographyEntry"/>
      </w:pPr>
      <w:bookmarkEnd w:id="176"/>
      <w:r>
        <w:rPr>
          <w:b/>
        </w:rPr>
        <w:t xml:space="preserve">AG006  </w:t>
      </w:r>
      <w:hyperlink r:id="rId50">
        <w:r>
          <w:rPr>
            <w:color w:val="245C88"/>
            <w:u w:val="single"/>
          </w:rPr>
          <w:t>Lanzamiento de la marca Quesería Artesanal Certificada</w:t>
        </w:r>
      </w:hyperlink>
    </w:p>
    <w:p>
      <w:pPr>
        <w:pStyle w:val="SourceNote"/>
      </w:pPr>
      <w:r>
        <w:rPr>
          <w:b/>
        </w:rPr>
        <w:t xml:space="preserve">Localizador  </w:t>
      </w:r>
      <w:r>
        <w:t>Descripción de criterios verificables, evaluación, auditoría y seguimiento.</w:t>
      </w:r>
      <w:r>
        <w:t xml:space="preserve">  ·  Consulta 2026-10-19</w:t>
      </w:r>
    </w:p>
    <w:p>
      <w:bookmarkStart w:id="177" w:name="s_AG007"/>
      <w:pPr>
        <w:pStyle w:val="BibliographyEntry"/>
      </w:pPr>
      <w:bookmarkEnd w:id="177"/>
      <w:r>
        <w:rPr>
          <w:b/>
        </w:rPr>
        <w:t xml:space="preserve">AG007  </w:t>
      </w:r>
      <w:hyperlink r:id="rId51">
        <w:r>
          <w:rPr>
            <w:color w:val="245C88"/>
            <w:u w:val="single"/>
          </w:rPr>
          <w:t>Autoridades nacionales acompañaron la zafra de olivos en Lavalleja</w:t>
        </w:r>
      </w:hyperlink>
    </w:p>
    <w:p>
      <w:pPr>
        <w:pStyle w:val="SourceNote"/>
      </w:pPr>
      <w:r>
        <w:rPr>
          <w:b/>
        </w:rPr>
        <w:t xml:space="preserve">Localizador  </w:t>
      </w:r>
      <w:r>
        <w:t>Apertura y descripción del establecimiento Sabiá y de la producción olivícola.</w:t>
      </w:r>
      <w:r>
        <w:t xml:space="preserve">  ·  Consulta 2026-10-19</w:t>
      </w:r>
    </w:p>
    <w:p>
      <w:bookmarkStart w:id="178" w:name="s_AG008"/>
      <w:pPr>
        <w:pStyle w:val="BibliographyEntry"/>
      </w:pPr>
      <w:bookmarkEnd w:id="178"/>
      <w:r>
        <w:rPr>
          <w:b/>
        </w:rPr>
        <w:t xml:space="preserve">AG008  </w:t>
      </w:r>
      <w:hyperlink r:id="rId52">
        <w:r>
          <w:rPr>
            <w:color w:val="245C88"/>
            <w:u w:val="single"/>
          </w:rPr>
          <w:t>Lanzamiento nacional de la cosecha de olivos 2024</w:t>
        </w:r>
      </w:hyperlink>
    </w:p>
    <w:p>
      <w:pPr>
        <w:pStyle w:val="SourceNote"/>
      </w:pPr>
      <w:r>
        <w:rPr>
          <w:b/>
        </w:rPr>
        <w:t xml:space="preserve">Localizador  </w:t>
      </w:r>
      <w:r>
        <w:t>Lugar: establecimiento Sabiá, Ruta 12 km 357, Lavalleja.</w:t>
      </w:r>
      <w:r>
        <w:t xml:space="preserve">  ·  Consulta 2026-10-19</w:t>
      </w:r>
    </w:p>
    <w:p>
      <w:bookmarkStart w:id="179" w:name="s_AG009"/>
      <w:pPr>
        <w:pStyle w:val="BibliographyEntry"/>
      </w:pPr>
      <w:bookmarkEnd w:id="179"/>
      <w:r>
        <w:rPr>
          <w:b/>
        </w:rPr>
        <w:t xml:space="preserve">AG009  </w:t>
      </w:r>
      <w:hyperlink r:id="rId53">
        <w:r>
          <w:rPr>
            <w:color w:val="245C88"/>
            <w:u w:val="single"/>
          </w:rPr>
          <w:t>Directorio de bodegas: Lavalleja</w:t>
        </w:r>
      </w:hyperlink>
    </w:p>
    <w:p>
      <w:pPr>
        <w:pStyle w:val="SourceNote"/>
      </w:pPr>
      <w:r>
        <w:rPr>
          <w:b/>
        </w:rPr>
        <w:t xml:space="preserve">Localizador  </w:t>
      </w:r>
      <w:r>
        <w:t>Entrada MATAOJO – EBATEL S.A., Ruta 8 km 91.</w:t>
      </w:r>
      <w:r>
        <w:t xml:space="preserve">  ·  Consulta 2026-10-19</w:t>
      </w:r>
    </w:p>
    <w:p>
      <w:bookmarkStart w:id="180" w:name="s_AG010"/>
      <w:pPr>
        <w:pStyle w:val="BibliographyEntry"/>
      </w:pPr>
      <w:bookmarkEnd w:id="180"/>
      <w:r>
        <w:rPr>
          <w:b/>
        </w:rPr>
        <w:t xml:space="preserve">AG010  </w:t>
      </w:r>
      <w:hyperlink r:id="rId54">
        <w:r>
          <w:rPr>
            <w:color w:val="245C88"/>
            <w:u w:val="single"/>
          </w:rPr>
          <w:t>Día Mundial de las Abejas 2026 en Lavalleja</w:t>
        </w:r>
      </w:hyperlink>
    </w:p>
    <w:p>
      <w:pPr>
        <w:pStyle w:val="SourceNote"/>
      </w:pPr>
      <w:r>
        <w:rPr>
          <w:b/>
        </w:rPr>
        <w:t xml:space="preserve">Localizador  </w:t>
      </w:r>
      <w:r>
        <w:t>Actividades en Minas y José Pedro Varela y articulación institucional apícola.</w:t>
      </w:r>
      <w:r>
        <w:t xml:space="preserve">  ·  Consulta 2026-10-19</w:t>
      </w:r>
    </w:p>
    <w:p>
      <w:bookmarkStart w:id="181" w:name="s_AG011"/>
      <w:pPr>
        <w:pStyle w:val="BibliographyEntry"/>
      </w:pPr>
      <w:bookmarkEnd w:id="181"/>
      <w:r>
        <w:rPr>
          <w:b/>
        </w:rPr>
        <w:t xml:space="preserve">AG011  </w:t>
      </w:r>
      <w:hyperlink r:id="rId55">
        <w:r>
          <w:rPr>
            <w:color w:val="245C88"/>
            <w:u w:val="single"/>
          </w:rPr>
          <w:t>Inscripción en el Registro Nacional de Apicultores</w:t>
        </w:r>
      </w:hyperlink>
    </w:p>
    <w:p>
      <w:pPr>
        <w:pStyle w:val="SourceNote"/>
      </w:pPr>
      <w:r>
        <w:rPr>
          <w:b/>
        </w:rPr>
        <w:t xml:space="preserve">Localizador  </w:t>
      </w:r>
      <w:r>
        <w:t>Descripción del registro y vinculación con SINATPA.</w:t>
      </w:r>
      <w:r>
        <w:t xml:space="preserve">  ·  Consulta 2026-10-19</w:t>
      </w:r>
    </w:p>
    <w:p>
      <w:bookmarkStart w:id="182" w:name="s_AG012"/>
      <w:pPr>
        <w:pStyle w:val="BibliographyEntry"/>
      </w:pPr>
      <w:bookmarkEnd w:id="182"/>
      <w:r>
        <w:rPr>
          <w:b/>
        </w:rPr>
        <w:t xml:space="preserve">AG012  </w:t>
      </w:r>
      <w:hyperlink r:id="rId56">
        <w:r>
          <w:rPr>
            <w:color w:val="245C88"/>
            <w:u w:val="single"/>
          </w:rPr>
          <w:t>Inscripción en Registro Nacional de Salas de Extracción de Miel</w:t>
        </w:r>
      </w:hyperlink>
    </w:p>
    <w:p>
      <w:pPr>
        <w:pStyle w:val="SourceNote"/>
      </w:pPr>
      <w:r>
        <w:rPr>
          <w:b/>
        </w:rPr>
        <w:t xml:space="preserve">Localizador  </w:t>
      </w:r>
      <w:r>
        <w:t>Descripción, Requisitos y Otros datos de interés: habilitación de un año y planillas de movimiento semanales.</w:t>
      </w:r>
      <w:r>
        <w:t xml:space="preserve">  ·  Consulta 2026-10-19</w:t>
      </w:r>
    </w:p>
    <w:p>
      <w:bookmarkStart w:id="183" w:name="s_AG013"/>
      <w:pPr>
        <w:pStyle w:val="BibliographyEntry"/>
      </w:pPr>
      <w:bookmarkEnd w:id="183"/>
      <w:r>
        <w:rPr>
          <w:b/>
        </w:rPr>
        <w:t xml:space="preserve">AG013  </w:t>
      </w:r>
      <w:hyperlink r:id="rId57">
        <w:r>
          <w:rPr>
            <w:color w:val="245C88"/>
            <w:u w:val="single"/>
          </w:rPr>
          <w:t>Decreto 179/026: modificación del régimen ambiental forestal</w:t>
        </w:r>
      </w:hyperlink>
    </w:p>
    <w:p>
      <w:pPr>
        <w:pStyle w:val="SourceNote"/>
      </w:pPr>
      <w:r>
        <w:rPr>
          <w:b/>
        </w:rPr>
        <w:t xml:space="preserve">Localizador  </w:t>
      </w:r>
      <w:r>
        <w:t>Artículos 1 a 5; derogación del Decreto 3/025; régimen de expedientes en trámite.</w:t>
      </w:r>
      <w:r>
        <w:t xml:space="preserve">  ·  Consulta 2026-10-19</w:t>
      </w:r>
    </w:p>
    <w:p>
      <w:bookmarkStart w:id="184" w:name="s_AG014"/>
      <w:pPr>
        <w:pStyle w:val="BibliographyEntry"/>
      </w:pPr>
      <w:bookmarkEnd w:id="184"/>
      <w:r>
        <w:rPr>
          <w:b/>
        </w:rPr>
        <w:t xml:space="preserve">AG014  </w:t>
      </w:r>
      <w:hyperlink r:id="rId58">
        <w:r>
          <w:rPr>
            <w:color w:val="245C88"/>
            <w:u w:val="single"/>
          </w:rPr>
          <w:t>Decreto 405/021, artículo 9 actualizado: aptitud forestal</w:t>
        </w:r>
      </w:hyperlink>
    </w:p>
    <w:p>
      <w:pPr>
        <w:pStyle w:val="SourceNote"/>
      </w:pPr>
      <w:r>
        <w:rPr>
          <w:b/>
        </w:rPr>
        <w:t xml:space="preserve">Localizador  </w:t>
      </w:r>
      <w:r>
        <w:t>Artículo 9; suelos de prioridad forestal, plantaciones preexistentes, capacidad USDA VI, VII y IVe.</w:t>
      </w:r>
      <w:r>
        <w:t xml:space="preserve">  ·  Consulta 2026-10-19</w:t>
      </w:r>
    </w:p>
    <w:p>
      <w:bookmarkStart w:id="185" w:name="s_AG015"/>
      <w:pPr>
        <w:pStyle w:val="BibliographyEntry"/>
      </w:pPr>
      <w:bookmarkEnd w:id="185"/>
      <w:r>
        <w:rPr>
          <w:b/>
        </w:rPr>
        <w:t xml:space="preserve">AG015  </w:t>
      </w:r>
      <w:hyperlink r:id="rId59">
        <w:r>
          <w:rPr>
            <w:color w:val="245C88"/>
            <w:u w:val="single"/>
          </w:rPr>
          <w:t>Decreto 405/021, artículo 9 bis: otros suelos en proyectos forestales</w:t>
        </w:r>
      </w:hyperlink>
    </w:p>
    <w:p>
      <w:pPr>
        <w:pStyle w:val="SourceNote"/>
      </w:pPr>
      <w:r>
        <w:rPr>
          <w:b/>
        </w:rPr>
        <w:t xml:space="preserve">Localizador  </w:t>
      </w:r>
      <w:r>
        <w:t>Artículo 9 bis, literales a y b.</w:t>
      </w:r>
      <w:r>
        <w:t xml:space="preserve">  ·  Consulta 2026-10-19</w:t>
      </w:r>
    </w:p>
    <w:p>
      <w:bookmarkStart w:id="186" w:name="s_AG016"/>
      <w:pPr>
        <w:pStyle w:val="BibliographyEntry"/>
      </w:pPr>
      <w:bookmarkEnd w:id="186"/>
      <w:r>
        <w:rPr>
          <w:b/>
        </w:rPr>
        <w:t xml:space="preserve">AG016  </w:t>
      </w:r>
      <w:hyperlink r:id="rId60">
        <w:r>
          <w:rPr>
            <w:color w:val="245C88"/>
            <w:u w:val="single"/>
          </w:rPr>
          <w:t>Registro ambiental de plantaciones forestales entre 40 y 100 ha</w:t>
        </w:r>
      </w:hyperlink>
    </w:p>
    <w:p>
      <w:pPr>
        <w:pStyle w:val="SourceNote"/>
      </w:pPr>
      <w:r>
        <w:rPr>
          <w:b/>
        </w:rPr>
        <w:t xml:space="preserve">Localizador  </w:t>
      </w:r>
      <w:r>
        <w:t>Descripción del trámite y requisito de responsable técnico agronómico.</w:t>
      </w:r>
      <w:r>
        <w:t xml:space="preserve">  ·  Consulta 2026-10-19</w:t>
      </w:r>
    </w:p>
    <w:p>
      <w:bookmarkStart w:id="187" w:name="s_AG017"/>
      <w:pPr>
        <w:pStyle w:val="BibliographyEntry"/>
      </w:pPr>
      <w:bookmarkEnd w:id="187"/>
      <w:r>
        <w:rPr>
          <w:b/>
        </w:rPr>
        <w:t xml:space="preserve">AG017  </w:t>
      </w:r>
      <w:hyperlink r:id="rId61">
        <w:r>
          <w:rPr>
            <w:color w:val="245C88"/>
            <w:u w:val="single"/>
          </w:rPr>
          <w:t>Resolución MA 753/2026: clasificación ambiental de proyectos forestales y compensaciones</w:t>
        </w:r>
      </w:hyperlink>
    </w:p>
    <w:p>
      <w:pPr>
        <w:pStyle w:val="SourceNote"/>
      </w:pPr>
      <w:r>
        <w:rPr>
          <w:b/>
        </w:rPr>
        <w:t xml:space="preserve">Localizador  </w:t>
      </w:r>
      <w:r>
        <w:t>Anexo: criterios de clasificación, información por padrón, suelos, ecosistemas, cuencas y paisaje.</w:t>
      </w:r>
      <w:r>
        <w:t xml:space="preserve">  ·  Consulta 2026-10-19</w:t>
      </w:r>
    </w:p>
    <w:p>
      <w:bookmarkStart w:id="188" w:name="s_AG018"/>
      <w:pPr>
        <w:pStyle w:val="BibliographyEntry"/>
      </w:pPr>
      <w:bookmarkEnd w:id="188"/>
      <w:r>
        <w:rPr>
          <w:b/>
        </w:rPr>
        <w:t xml:space="preserve">AG018  </w:t>
      </w:r>
      <w:hyperlink r:id="rId62">
        <w:r>
          <w:rPr>
            <w:color w:val="245C88"/>
            <w:u w:val="single"/>
          </w:rPr>
          <w:t>Resolución MA sobre ciclos forestales de autorizaciones anteriores al Decreto 405/021</w:t>
        </w:r>
      </w:hyperlink>
    </w:p>
    <w:p>
      <w:pPr>
        <w:pStyle w:val="SourceNote"/>
      </w:pPr>
      <w:r>
        <w:rPr>
          <w:b/>
        </w:rPr>
        <w:t xml:space="preserve">Localizador  </w:t>
      </w:r>
      <w:r>
        <w:t>Numeral 1 y excepciones: dos ciclos para celulosa o uno para madera sólida cuando el acto previo no especifica ciclos.</w:t>
      </w:r>
      <w:r>
        <w:t xml:space="preserve">  ·  Consulta 2026-10-19</w:t>
      </w:r>
    </w:p>
    <w:p>
      <w:bookmarkStart w:id="189" w:name="s_AG019"/>
      <w:pPr>
        <w:pStyle w:val="BibliographyEntry"/>
      </w:pPr>
      <w:bookmarkEnd w:id="189"/>
      <w:r>
        <w:rPr>
          <w:b/>
        </w:rPr>
        <w:t xml:space="preserve">AG019  </w:t>
      </w:r>
      <w:hyperlink r:id="rId63">
        <w:r>
          <w:rPr>
            <w:color w:val="245C88"/>
            <w:u w:val="single"/>
          </w:rPr>
          <w:t>Informe del sector forestal 2026</w:t>
        </w:r>
      </w:hyperlink>
    </w:p>
    <w:p>
      <w:pPr>
        <w:pStyle w:val="SourceNote"/>
      </w:pPr>
      <w:r>
        <w:rPr>
          <w:b/>
        </w:rPr>
        <w:t xml:space="preserve">Localizador  </w:t>
      </w:r>
      <w:r>
        <w:t>Presentación del sector: transformación de madera, construcción, biomasa y cadenas de valor.</w:t>
      </w:r>
      <w:r>
        <w:t xml:space="preserve">  ·  Consulta 2026-10-19</w:t>
      </w:r>
    </w:p>
    <w:p>
      <w:bookmarkStart w:id="190" w:name="s_AG020"/>
      <w:pPr>
        <w:pStyle w:val="BibliographyEntry"/>
      </w:pPr>
      <w:bookmarkEnd w:id="190"/>
      <w:r>
        <w:rPr>
          <w:b/>
        </w:rPr>
        <w:t xml:space="preserve">AG020  </w:t>
      </w:r>
      <w:hyperlink r:id="rId64">
        <w:r>
          <w:rPr>
            <w:color w:val="245C88"/>
            <w:u w:val="single"/>
          </w:rPr>
          <w:t>Solicitud de corta y aprovechamiento del Bosque Nativo</w:t>
        </w:r>
      </w:hyperlink>
    </w:p>
    <w:p>
      <w:pPr>
        <w:pStyle w:val="SourceNote"/>
      </w:pPr>
      <w:r>
        <w:rPr>
          <w:b/>
        </w:rPr>
        <w:t xml:space="preserve">Localizador  </w:t>
      </w:r>
      <w:r>
        <w:t>Solicitud de Plan de Manejo; qué, dónde y cómo aprovechar bosque nativo.</w:t>
      </w:r>
      <w:r>
        <w:t xml:space="preserve">  ·  Consulta 2026-10-19</w:t>
      </w:r>
    </w:p>
    <w:p>
      <w:bookmarkStart w:id="191" w:name="s_AG021"/>
      <w:pPr>
        <w:pStyle w:val="BibliographyEntry"/>
      </w:pPr>
      <w:bookmarkEnd w:id="191"/>
      <w:r>
        <w:rPr>
          <w:b/>
        </w:rPr>
        <w:t xml:space="preserve">AG021  </w:t>
      </w:r>
      <w:hyperlink r:id="rId65">
        <w:r>
          <w:rPr>
            <w:color w:val="245C88"/>
            <w:u w:val="single"/>
          </w:rPr>
          <w:t>Guías de tránsito para productos del Bosque Nativo</w:t>
        </w:r>
      </w:hyperlink>
    </w:p>
    <w:p>
      <w:pPr>
        <w:pStyle w:val="SourceNote"/>
      </w:pPr>
      <w:r>
        <w:rPr>
          <w:b/>
        </w:rPr>
        <w:t xml:space="preserve">Localizador  </w:t>
      </w:r>
      <w:r>
        <w:t>Trámite de guías para transporte de productos del bosque nativo.</w:t>
      </w:r>
      <w:r>
        <w:t xml:space="preserve">  ·  Consulta 2026-10-19</w:t>
      </w:r>
    </w:p>
    <w:p>
      <w:bookmarkStart w:id="192" w:name="s_AG022"/>
      <w:pPr>
        <w:pStyle w:val="BibliographyEntry"/>
      </w:pPr>
      <w:bookmarkEnd w:id="192"/>
      <w:r>
        <w:rPr>
          <w:b/>
        </w:rPr>
        <w:t xml:space="preserve">AG022  </w:t>
      </w:r>
      <w:hyperlink r:id="rId66">
        <w:r>
          <w:rPr>
            <w:color w:val="245C88"/>
            <w:u w:val="single"/>
          </w:rPr>
          <w:t>Visualizador Geológico Minero</w:t>
        </w:r>
      </w:hyperlink>
    </w:p>
    <w:p>
      <w:pPr>
        <w:pStyle w:val="SourceNote"/>
      </w:pPr>
      <w:r>
        <w:rPr>
          <w:b/>
        </w:rPr>
        <w:t xml:space="preserve">Localizador  </w:t>
      </w:r>
      <w:r>
        <w:t>Capas geológicas y mineras; búsqueda de padrón y cédula minera.</w:t>
      </w:r>
      <w:r>
        <w:t xml:space="preserve">  ·  Consulta 2026-10-19</w:t>
      </w:r>
    </w:p>
    <w:p>
      <w:bookmarkStart w:id="193" w:name="s_AG023"/>
      <w:pPr>
        <w:pStyle w:val="BibliographyEntry"/>
      </w:pPr>
      <w:bookmarkEnd w:id="193"/>
      <w:r>
        <w:rPr>
          <w:b/>
        </w:rPr>
        <w:t xml:space="preserve">AG023  </w:t>
      </w:r>
      <w:hyperlink r:id="rId67">
        <w:r>
          <w:rPr>
            <w:color w:val="245C88"/>
            <w:u w:val="single"/>
          </w:rPr>
          <w:t>Información sobre afectaciones mineras de un padrón y Cédula Minera</w:t>
        </w:r>
      </w:hyperlink>
    </w:p>
    <w:p>
      <w:pPr>
        <w:pStyle w:val="SourceNote"/>
      </w:pPr>
      <w:r>
        <w:rPr>
          <w:b/>
        </w:rPr>
        <w:t xml:space="preserve">Localizador  </w:t>
      </w:r>
      <w:r>
        <w:t>Descripción y apartado Importante: cédula digital, gratuidad, valor legal y alternativa si el visor no tiene datos.</w:t>
      </w:r>
      <w:r>
        <w:t xml:space="preserve">  ·  Consulta 2026-10-19</w:t>
      </w:r>
    </w:p>
    <w:p>
      <w:bookmarkStart w:id="194" w:name="s_AG024"/>
      <w:pPr>
        <w:pStyle w:val="BibliographyEntry"/>
      </w:pPr>
      <w:bookmarkEnd w:id="194"/>
      <w:r>
        <w:rPr>
          <w:b/>
        </w:rPr>
        <w:t xml:space="preserve">AG024  </w:t>
      </w:r>
      <w:hyperlink r:id="rId68">
        <w:r>
          <w:rPr>
            <w:color w:val="245C88"/>
            <w:u w:val="single"/>
          </w:rPr>
          <w:t>Concesión para explotar y servidumbres mineras</w:t>
        </w:r>
      </w:hyperlink>
    </w:p>
    <w:p>
      <w:pPr>
        <w:pStyle w:val="SourceNote"/>
      </w:pPr>
      <w:r>
        <w:rPr>
          <w:b/>
        </w:rPr>
        <w:t xml:space="preserve">Localizador  </w:t>
      </w:r>
      <w:r>
        <w:t>Definición, requisitos, certificado Clase IV, programa de operaciones y plan financiero.</w:t>
      </w:r>
      <w:r>
        <w:t xml:space="preserve">  ·  Consulta 2026-10-19</w:t>
      </w:r>
    </w:p>
    <w:p>
      <w:bookmarkStart w:id="195" w:name="s_AG025"/>
      <w:pPr>
        <w:pStyle w:val="BibliographyEntry"/>
      </w:pPr>
      <w:bookmarkEnd w:id="195"/>
      <w:r>
        <w:rPr>
          <w:b/>
        </w:rPr>
        <w:t xml:space="preserve">AG025  </w:t>
      </w:r>
      <w:hyperlink r:id="rId69">
        <w:r>
          <w:rPr>
            <w:color w:val="245C88"/>
            <w:u w:val="single"/>
          </w:rPr>
          <w:t>Proceso de producción de cemento</w:t>
        </w:r>
      </w:hyperlink>
    </w:p>
    <w:p>
      <w:pPr>
        <w:pStyle w:val="SourceNote"/>
      </w:pPr>
      <w:r>
        <w:rPr>
          <w:b/>
        </w:rPr>
        <w:t xml:space="preserve">Localizador  </w:t>
      </w:r>
      <w:r>
        <w:t>Plantas de Minas y Paysandú; materias primas y etapas del proceso.</w:t>
      </w:r>
      <w:r>
        <w:t xml:space="preserve">  ·  Consulta 2026-10-19</w:t>
      </w:r>
    </w:p>
    <w:p>
      <w:bookmarkStart w:id="196" w:name="s_AG026"/>
      <w:pPr>
        <w:pStyle w:val="BibliographyEntry"/>
      </w:pPr>
      <w:bookmarkEnd w:id="196"/>
      <w:r>
        <w:rPr>
          <w:b/>
        </w:rPr>
        <w:t xml:space="preserve">AG026  </w:t>
      </w:r>
      <w:hyperlink r:id="rId70">
        <w:r>
          <w:rPr>
            <w:color w:val="245C88"/>
            <w:u w:val="single"/>
          </w:rPr>
          <w:t>Visita de autoridades a Salus y al ITR Este</w:t>
        </w:r>
      </w:hyperlink>
    </w:p>
    <w:p>
      <w:pPr>
        <w:pStyle w:val="SourceNote"/>
      </w:pPr>
      <w:r>
        <w:rPr>
          <w:b/>
        </w:rPr>
        <w:t xml:space="preserve">Localizador  </w:t>
      </w:r>
      <w:r>
        <w:t>Visita al parque Salus y planta de procesamiento de agua mineral en Lavalleja.</w:t>
      </w:r>
      <w:r>
        <w:t xml:space="preserve">  ·  Consulta 2026-10-19</w:t>
      </w:r>
    </w:p>
    <w:p>
      <w:bookmarkStart w:id="197" w:name="s_AG027"/>
      <w:pPr>
        <w:pStyle w:val="BibliographyEntry"/>
      </w:pPr>
      <w:bookmarkEnd w:id="197"/>
      <w:r>
        <w:rPr>
          <w:b/>
        </w:rPr>
        <w:t xml:space="preserve">AG027  </w:t>
      </w:r>
      <w:hyperlink r:id="rId71">
        <w:r>
          <w:rPr>
            <w:color w:val="245C88"/>
            <w:u w:val="single"/>
          </w:rPr>
          <w:t>Inscripción de empresa en RUNAEV</w:t>
        </w:r>
      </w:hyperlink>
    </w:p>
    <w:p>
      <w:pPr>
        <w:pStyle w:val="SourceNote"/>
      </w:pPr>
      <w:r>
        <w:rPr>
          <w:b/>
        </w:rPr>
        <w:t xml:space="preserve">Localizador  </w:t>
      </w:r>
      <w:r>
        <w:t>Descripción de empresas, inscripción previa y categorías con y sin local.</w:t>
      </w:r>
      <w:r>
        <w:t xml:space="preserve">  ·  Consulta 2026-10-19</w:t>
      </w:r>
    </w:p>
    <w:p>
      <w:bookmarkStart w:id="198" w:name="s_AG028"/>
      <w:pPr>
        <w:pStyle w:val="BibliographyEntry"/>
      </w:pPr>
      <w:bookmarkEnd w:id="198"/>
      <w:r>
        <w:rPr>
          <w:b/>
        </w:rPr>
        <w:t xml:space="preserve">AG028  </w:t>
      </w:r>
      <w:hyperlink r:id="rId72">
        <w:r>
          <w:rPr>
            <w:color w:val="245C88"/>
            <w:u w:val="single"/>
          </w:rPr>
          <w:t>Preguntas frecuentes RUNAEV</w:t>
        </w:r>
      </w:hyperlink>
    </w:p>
    <w:p>
      <w:pPr>
        <w:pStyle w:val="SourceNote"/>
      </w:pPr>
      <w:r>
        <w:rPr>
          <w:b/>
        </w:rPr>
        <w:t xml:space="preserve">Localizador  </w:t>
      </w:r>
      <w:r>
        <w:t>Pregunta sobre número anterior de habilitación/registro; párrafos sobre rótulos y 31 de diciembre de 2026.</w:t>
      </w:r>
      <w:r>
        <w:t xml:space="preserve">  ·  Consulta 2026-10-19</w:t>
      </w:r>
    </w:p>
    <w:p>
      <w:bookmarkStart w:id="199" w:name="s_AG029"/>
      <w:pPr>
        <w:pStyle w:val="BibliographyEntry"/>
      </w:pPr>
      <w:bookmarkEnd w:id="199"/>
      <w:r>
        <w:rPr>
          <w:b/>
        </w:rPr>
        <w:t xml:space="preserve">AG029  </w:t>
      </w:r>
      <w:hyperlink r:id="rId73">
        <w:r>
          <w:rPr>
            <w:color w:val="245C88"/>
            <w:u w:val="single"/>
          </w:rPr>
          <w:t>Habilitación de planta de alimentos para animales monogástricos</w:t>
        </w:r>
      </w:hyperlink>
    </w:p>
    <w:p>
      <w:pPr>
        <w:pStyle w:val="SourceNote"/>
      </w:pPr>
      <w:r>
        <w:rPr>
          <w:b/>
        </w:rPr>
        <w:t xml:space="preserve">Localizador  </w:t>
      </w:r>
      <w:r>
        <w:t>Alcance condicional, RUO, auditoría y buenas prácticas.</w:t>
      </w:r>
      <w:r>
        <w:t xml:space="preserve">  ·  Consulta 2026-10-19</w:t>
      </w:r>
    </w:p>
    <w:p>
      <w:bookmarkStart w:id="200" w:name="s_AG030"/>
      <w:pPr>
        <w:pStyle w:val="BibliographyEntry"/>
      </w:pPr>
      <w:bookmarkEnd w:id="200"/>
      <w:r>
        <w:rPr>
          <w:b/>
        </w:rPr>
        <w:t xml:space="preserve">AG030  </w:t>
      </w:r>
      <w:hyperlink r:id="rId74">
        <w:r>
          <w:rPr>
            <w:color w:val="245C88"/>
            <w:u w:val="single"/>
          </w:rPr>
          <w:t>Decreto 182/013: residuos sólidos industriales y asimilados</w:t>
        </w:r>
      </w:hyperlink>
    </w:p>
    <w:p>
      <w:pPr>
        <w:pStyle w:val="SourceNote"/>
      </w:pPr>
      <w:r>
        <w:rPr>
          <w:b/>
        </w:rPr>
        <w:t xml:space="preserve">Localizador  </w:t>
      </w:r>
      <w:r>
        <w:t>Ámbito de aplicación, responsabilidades del generador y operaciones de gestión.</w:t>
      </w:r>
      <w:r>
        <w:t xml:space="preserve">  ·  Consulta 2026-10-19</w:t>
      </w:r>
    </w:p>
    <w:p>
      <w:bookmarkStart w:id="201" w:name="s_AG031"/>
      <w:pPr>
        <w:pStyle w:val="BibliographyEntry"/>
      </w:pPr>
      <w:bookmarkEnd w:id="201"/>
      <w:r>
        <w:rPr>
          <w:b/>
        </w:rPr>
        <w:t xml:space="preserve">AG031  </w:t>
      </w:r>
      <w:hyperlink r:id="rId75">
        <w:r>
          <w:rPr>
            <w:color w:val="245C88"/>
            <w:u w:val="single"/>
          </w:rPr>
          <w:t>Habilitación para transporte de residuos sólidos industriales y asimilados</w:t>
        </w:r>
      </w:hyperlink>
    </w:p>
    <w:p>
      <w:pPr>
        <w:pStyle w:val="SourceNote"/>
      </w:pPr>
      <w:r>
        <w:rPr>
          <w:b/>
        </w:rPr>
        <w:t xml:space="preserve">Localizador  </w:t>
      </w:r>
      <w:r>
        <w:t>Solicitud de habilitación, transportista y residuos admitidos.</w:t>
      </w:r>
      <w:r>
        <w:t xml:space="preserve">  ·  Consulta 2026-10-19</w:t>
      </w:r>
    </w:p>
    <w:p>
      <w:bookmarkStart w:id="202" w:name="s_AG032"/>
      <w:pPr>
        <w:pStyle w:val="BibliographyEntry"/>
      </w:pPr>
      <w:bookmarkEnd w:id="202"/>
      <w:r>
        <w:rPr>
          <w:b/>
        </w:rPr>
        <w:t xml:space="preserve">AG032  </w:t>
      </w:r>
      <w:hyperlink r:id="rId76">
        <w:r>
          <w:rPr>
            <w:color w:val="245C88"/>
            <w:u w:val="single"/>
          </w:rPr>
          <w:t>Decreto 213/025: residuos de obras de construcción, reforma o demolición</w:t>
        </w:r>
      </w:hyperlink>
    </w:p>
    <w:p>
      <w:pPr>
        <w:pStyle w:val="SourceNote"/>
      </w:pPr>
      <w:r>
        <w:rPr>
          <w:b/>
        </w:rPr>
        <w:t xml:space="preserve">Localizador  </w:t>
      </w:r>
      <w:r>
        <w:t>Artículos 1 a 3; ámbito y exclusión de reparaciones domésticas menores; reglas de gestión y actores.</w:t>
      </w:r>
      <w:r>
        <w:t xml:space="preserve">  ·  Consulta 2026-10-19</w:t>
      </w:r>
    </w:p>
    <w:p>
      <w:bookmarkStart w:id="203" w:name="s_AG033"/>
      <w:pPr>
        <w:pStyle w:val="BibliographyEntry"/>
      </w:pPr>
      <w:bookmarkEnd w:id="203"/>
      <w:r>
        <w:rPr>
          <w:b/>
        </w:rPr>
        <w:t xml:space="preserve">AG033  </w:t>
      </w:r>
      <w:hyperlink r:id="rId77">
        <w:r>
          <w:rPr>
            <w:color w:val="245C88"/>
            <w:u w:val="single"/>
          </w:rPr>
          <w:t>Lavalleja suma ecopuntos para recuperar materiales reciclables</w:t>
        </w:r>
      </w:hyperlink>
    </w:p>
    <w:p>
      <w:pPr>
        <w:pStyle w:val="SourceNote"/>
      </w:pPr>
      <w:r>
        <w:rPr>
          <w:b/>
        </w:rPr>
        <w:t xml:space="preserve">Localizador  </w:t>
      </w:r>
      <w:r>
        <w:t>Primeros 15 ecopuntos en Minas, dentro de un total de 60 previstos por el Plan Vale.</w:t>
      </w:r>
      <w:r>
        <w:t xml:space="preserve">  ·  Consulta 2026-10-19</w:t>
      </w:r>
    </w:p>
    <w:p>
      <w:bookmarkStart w:id="204" w:name="s_AG034"/>
      <w:pPr>
        <w:pStyle w:val="BibliographyEntry"/>
      </w:pPr>
      <w:bookmarkEnd w:id="204"/>
      <w:r>
        <w:rPr>
          <w:b/>
        </w:rPr>
        <w:t xml:space="preserve">AG034  </w:t>
      </w:r>
      <w:hyperlink r:id="rId78">
        <w:r>
          <w:rPr>
            <w:color w:val="245C88"/>
            <w:u w:val="single"/>
          </w:rPr>
          <w:t>Premio Uruguay Circular 2025: iniciativas reconocidas</w:t>
        </w:r>
      </w:hyperlink>
    </w:p>
    <w:p>
      <w:pPr>
        <w:pStyle w:val="SourceNote"/>
      </w:pPr>
      <w:r>
        <w:rPr>
          <w:b/>
        </w:rPr>
        <w:t xml:space="preserve">Localizador  </w:t>
      </w:r>
      <w:r>
        <w:t>Proyecto de investigación en biochar de aserrín y residuos forestales.</w:t>
      </w:r>
      <w:r>
        <w:t xml:space="preserve">  ·  Consulta 2026-10-19</w:t>
      </w:r>
    </w:p>
    <w:p>
      <w:bookmarkStart w:id="205" w:name="s_AG035"/>
      <w:pPr>
        <w:pStyle w:val="BibliographyEntry"/>
      </w:pPr>
      <w:bookmarkEnd w:id="205"/>
      <w:r>
        <w:rPr>
          <w:b/>
        </w:rPr>
        <w:t xml:space="preserve">AG035  </w:t>
      </w:r>
      <w:hyperlink r:id="rId79">
        <w:r>
          <w:rPr>
            <w:color w:val="245C88"/>
            <w:u w:val="single"/>
          </w:rPr>
          <w:t>Cometidos del INASE y registros de semillas</w:t>
        </w:r>
      </w:hyperlink>
    </w:p>
    <w:p>
      <w:pPr>
        <w:pStyle w:val="SourceNote"/>
      </w:pPr>
      <w:r>
        <w:rPr>
          <w:b/>
        </w:rPr>
        <w:t xml:space="preserve">Localizador  </w:t>
      </w:r>
      <w:r>
        <w:t>Registro General de Semilleristas, Registro Nacional de Cultivares, identidad y calidad de semillas.</w:t>
      </w:r>
      <w:r>
        <w:t xml:space="preserve">  ·  Consulta 2026-10-19</w:t>
      </w:r>
    </w:p>
    <w:p>
      <w:bookmarkStart w:id="206" w:name="s_AG036"/>
      <w:pPr>
        <w:pStyle w:val="BibliographyEntry"/>
      </w:pPr>
      <w:bookmarkEnd w:id="206"/>
      <w:r>
        <w:rPr>
          <w:b/>
        </w:rPr>
        <w:t xml:space="preserve">AG036  </w:t>
      </w:r>
      <w:hyperlink r:id="rId80">
        <w:r>
          <w:rPr>
            <w:color w:val="245C88"/>
            <w:u w:val="single"/>
          </w:rPr>
          <w:t>Directorio de exportadores: CALVASE Servicios S.A.</w:t>
        </w:r>
      </w:hyperlink>
    </w:p>
    <w:p>
      <w:pPr>
        <w:pStyle w:val="SourceNote"/>
      </w:pPr>
      <w:r>
        <w:rPr>
          <w:b/>
        </w:rPr>
        <w:t xml:space="preserve">Localizador  </w:t>
      </w:r>
      <w:r>
        <w:t>Entrada CALVASE SERVICIOS S.A., Ruta 8 km 256, José Pedro Varela.</w:t>
      </w:r>
      <w:r>
        <w:t xml:space="preserve">  ·  Consulta 2026-10-19</w:t>
      </w:r>
    </w:p>
    <w:p>
      <w:bookmarkStart w:id="207" w:name="s_AG037"/>
      <w:pPr>
        <w:pStyle w:val="BibliographyEntry"/>
      </w:pPr>
      <w:bookmarkEnd w:id="207"/>
      <w:r>
        <w:rPr>
          <w:b/>
        </w:rPr>
        <w:t xml:space="preserve">AG037  </w:t>
      </w:r>
      <w:hyperlink r:id="rId81">
        <w:r>
          <w:rPr>
            <w:color w:val="245C88"/>
            <w:u w:val="single"/>
          </w:rPr>
          <w:t>Decreto 162/014: establecimientos de engorde bovino en cuenca del Santa Lucía</w:t>
        </w:r>
      </w:hyperlink>
    </w:p>
    <w:p>
      <w:pPr>
        <w:pStyle w:val="SourceNote"/>
      </w:pPr>
      <w:r>
        <w:rPr>
          <w:b/>
        </w:rPr>
        <w:t xml:space="preserve">Localizador  </w:t>
      </w:r>
      <w:r>
        <w:t>Artículos 1, 2, 5, 7 y 9; alcance por cuenca, efluentes y exclusiones de localización.</w:t>
      </w:r>
      <w:r>
        <w:t xml:space="preserve">  ·  Consulta 2026-10-19</w:t>
      </w:r>
    </w:p>
    <w:p>
      <w:bookmarkStart w:id="208" w:name="s_AG038"/>
      <w:pPr>
        <w:pStyle w:val="BibliographyEntry"/>
      </w:pPr>
      <w:bookmarkEnd w:id="208"/>
      <w:r>
        <w:rPr>
          <w:b/>
        </w:rPr>
        <w:t xml:space="preserve">AG038  </w:t>
      </w:r>
      <w:hyperlink r:id="rId82">
        <w:r>
          <w:rPr>
            <w:color w:val="245C88"/>
            <w:u w:val="single"/>
          </w:rPr>
          <w:t>Decreto 226/025: prevención y control de contaminación de aguas</w:t>
        </w:r>
      </w:hyperlink>
    </w:p>
    <w:p>
      <w:pPr>
        <w:pStyle w:val="SourceNote"/>
      </w:pPr>
      <w:r>
        <w:rPr>
          <w:b/>
        </w:rPr>
        <w:t xml:space="preserve">Localizador  </w:t>
      </w:r>
      <w:r>
        <w:t>Artículos 26 a 30 y 79 a 83; autorización de vertido, transición y derogaciones.</w:t>
      </w:r>
      <w:r>
        <w:t xml:space="preserve">  ·  Consulta 2026-10-19</w:t>
      </w:r>
    </w:p>
    <w:p>
      <w:bookmarkStart w:id="209" w:name="s_AG039"/>
      <w:pPr>
        <w:pStyle w:val="BibliographyEntry"/>
      </w:pPr>
      <w:bookmarkEnd w:id="209"/>
      <w:r>
        <w:rPr>
          <w:b/>
        </w:rPr>
        <w:t xml:space="preserve">AG039  </w:t>
      </w:r>
      <w:hyperlink r:id="rId83">
        <w:r>
          <w:rPr>
            <w:color w:val="245C88"/>
            <w:u w:val="single"/>
          </w:rPr>
          <w:t>Habilitación sanitaria y registro de engorde de bovinos a corral</w:t>
        </w:r>
      </w:hyperlink>
    </w:p>
    <w:p>
      <w:pPr>
        <w:pStyle w:val="SourceNote"/>
      </w:pPr>
      <w:r>
        <w:rPr>
          <w:b/>
        </w:rPr>
        <w:t xml:space="preserve">Localizador  </w:t>
      </w:r>
      <w:r>
        <w:t>Requisitos de planos, análisis de aguas y plan sanitario firmado por veterinario; constancia ambiental para más de 500 bovinos.</w:t>
      </w:r>
      <w:r>
        <w:t xml:space="preserve">  ·  Consulta 2026-10-19</w:t>
      </w:r>
    </w:p>
    <w:p>
      <w:bookmarkStart w:id="210" w:name="s_AG040"/>
      <w:pPr>
        <w:pStyle w:val="BibliographyEntry"/>
      </w:pPr>
      <w:bookmarkEnd w:id="210"/>
      <w:r>
        <w:rPr>
          <w:b/>
        </w:rPr>
        <w:t xml:space="preserve">AG040  </w:t>
      </w:r>
      <w:hyperlink r:id="rId84">
        <w:r>
          <w:rPr>
            <w:color w:val="245C88"/>
            <w:u w:val="single"/>
          </w:rPr>
          <w:t>Control de garrapata y residuos en carne: actividad en Campanero</w:t>
        </w:r>
      </w:hyperlink>
    </w:p>
    <w:p>
      <w:pPr>
        <w:pStyle w:val="SourceNote"/>
      </w:pPr>
      <w:r>
        <w:rPr>
          <w:b/>
        </w:rPr>
        <w:t xml:space="preserve">Localizador  </w:t>
      </w:r>
      <w:r>
        <w:t>Lugar Campanero, Ruta 8 km 124, Lavalleja; control sanitario y residuos en carne.</w:t>
      </w:r>
      <w:r>
        <w:t xml:space="preserve">  ·  Consulta 2026-10-19</w:t>
      </w:r>
    </w:p>
    <w:p>
      <w:bookmarkStart w:id="211" w:name="s_AG041"/>
      <w:pPr>
        <w:pStyle w:val="BibliographyEntry"/>
      </w:pPr>
      <w:bookmarkEnd w:id="211"/>
      <w:r>
        <w:rPr>
          <w:b/>
        </w:rPr>
        <w:t xml:space="preserve">AG041  </w:t>
      </w:r>
      <w:hyperlink r:id="rId85">
        <w:r>
          <w:rPr>
            <w:color w:val="245C88"/>
            <w:u w:val="single"/>
          </w:rPr>
          <w:t>Impulso a la lechería familiar en cuencas menos desarrolladas</w:t>
        </w:r>
      </w:hyperlink>
    </w:p>
    <w:p>
      <w:pPr>
        <w:pStyle w:val="SourceNote"/>
      </w:pPr>
      <w:r>
        <w:rPr>
          <w:b/>
        </w:rPr>
        <w:t xml:space="preserve">Localizador  </w:t>
      </w:r>
      <w:r>
        <w:t>Delimitación descriptiva de la cuenca lechera del sureste, incluyendo suroeste de Lavalleja.</w:t>
      </w:r>
      <w:r>
        <w:t xml:space="preserve">  ·  Consulta 2026-10-19</w:t>
      </w:r>
    </w:p>
    <w:p>
      <w:bookmarkStart w:id="212" w:name="s_AG042"/>
      <w:pPr>
        <w:pStyle w:val="BibliographyEntry"/>
      </w:pPr>
      <w:bookmarkEnd w:id="212"/>
      <w:r>
        <w:rPr>
          <w:b/>
        </w:rPr>
        <w:t xml:space="preserve">AG042  </w:t>
      </w:r>
      <w:hyperlink r:id="rId86">
        <w:r>
          <w:rPr>
            <w:color w:val="245C88"/>
            <w:u w:val="single"/>
          </w:rPr>
          <w:t>Habilitación de establecimientos avícolas</w:t>
        </w:r>
      </w:hyperlink>
    </w:p>
    <w:p>
      <w:pPr>
        <w:pStyle w:val="SourceNote"/>
      </w:pPr>
      <w:r>
        <w:rPr>
          <w:b/>
        </w:rPr>
        <w:t xml:space="preserve">Localizador  </w:t>
      </w:r>
      <w:r>
        <w:t>Descripción, Requisitos y Vigencia: registro, DICOSE, formularios y refrendación anual.</w:t>
      </w:r>
      <w:r>
        <w:t xml:space="preserve">  ·  Consulta 2026-10-19</w:t>
      </w:r>
    </w:p>
    <w:p>
      <w:bookmarkStart w:id="213" w:name="s_TS001"/>
      <w:pPr>
        <w:pStyle w:val="BibliographyEntry"/>
      </w:pPr>
      <w:bookmarkEnd w:id="213"/>
      <w:r>
        <w:rPr>
          <w:b/>
        </w:rPr>
        <w:t xml:space="preserve">TS001  </w:t>
      </w:r>
      <w:hyperlink r:id="rId11">
        <w:r>
          <w:rPr>
            <w:color w:val="245C88"/>
            <w:u w:val="single"/>
          </w:rPr>
          <w:t>Plan Local de Ordenamiento Territorial y Desarrollo Sostenible de Villa Serrana y su entorno — Decreto Departamental 3701/2021</w:t>
        </w:r>
      </w:hyperlink>
    </w:p>
    <w:p>
      <w:pPr>
        <w:pStyle w:val="SourceNote"/>
      </w:pPr>
      <w:r>
        <w:rPr>
          <w:b/>
        </w:rPr>
        <w:t xml:space="preserve">Localizador  </w:t>
      </w:r>
      <w:r>
        <w:t>Artículos 17–20, 42–49, 51, 66, 68, 73–74, 103 y 107; cartografía MO03 y MO04</w:t>
      </w:r>
      <w:r>
        <w:t xml:space="preserve">  ·  Consulta 2026-10-19</w:t>
      </w:r>
    </w:p>
    <w:p>
      <w:bookmarkStart w:id="214" w:name="s_TS002"/>
      <w:pPr>
        <w:pStyle w:val="BibliographyEntry"/>
      </w:pPr>
      <w:bookmarkEnd w:id="214"/>
      <w:r>
        <w:rPr>
          <w:b/>
        </w:rPr>
        <w:t xml:space="preserve">TS002  </w:t>
      </w:r>
      <w:hyperlink r:id="rId82">
        <w:r>
          <w:rPr>
            <w:color w:val="245C88"/>
            <w:u w:val="single"/>
          </w:rPr>
          <w:t>Decreto 226/025 — Prevención de la contaminación ambiental a través de la preservación de la calidad de las aguas</w:t>
        </w:r>
      </w:hyperlink>
    </w:p>
    <w:p>
      <w:pPr>
        <w:pStyle w:val="SourceNote"/>
      </w:pPr>
      <w:r>
        <w:rPr>
          <w:b/>
        </w:rPr>
        <w:t xml:space="preserve">Localizador  </w:t>
      </w:r>
      <w:r>
        <w:t>Artículos 79–83: transición y derogaciones</w:t>
      </w:r>
      <w:r>
        <w:t xml:space="preserve">  ·  Consulta 2026-10-19</w:t>
      </w:r>
    </w:p>
    <w:p>
      <w:bookmarkStart w:id="215" w:name="s_TS003"/>
      <w:pPr>
        <w:pStyle w:val="BibliographyEntry"/>
      </w:pPr>
      <w:bookmarkEnd w:id="215"/>
      <w:r>
        <w:rPr>
          <w:b/>
        </w:rPr>
        <w:t xml:space="preserve">TS003  </w:t>
      </w:r>
      <w:hyperlink r:id="rId87">
        <w:r>
          <w:rPr>
            <w:color w:val="245C88"/>
            <w:u w:val="single"/>
          </w:rPr>
          <w:t>Inscripción de prestador turístico — Alojamientos</w:t>
        </w:r>
      </w:hyperlink>
    </w:p>
    <w:p>
      <w:pPr>
        <w:pStyle w:val="SourceNote"/>
      </w:pPr>
      <w:r>
        <w:rPr>
          <w:b/>
        </w:rPr>
        <w:t xml:space="preserve">Localizador  </w:t>
      </w:r>
      <w:r>
        <w:t>Requisitos; camping organizado; establecimientos rurales con alojamiento</w:t>
      </w:r>
      <w:r>
        <w:t xml:space="preserve">  ·  Consulta 2026-10-19</w:t>
      </w:r>
    </w:p>
    <w:p>
      <w:bookmarkStart w:id="216" w:name="s_TS004"/>
      <w:pPr>
        <w:pStyle w:val="BibliographyEntry"/>
      </w:pPr>
      <w:bookmarkEnd w:id="216"/>
      <w:r>
        <w:rPr>
          <w:b/>
        </w:rPr>
        <w:t xml:space="preserve">TS004  </w:t>
      </w:r>
      <w:hyperlink r:id="rId88">
        <w:r>
          <w:rPr>
            <w:color w:val="245C88"/>
            <w:u w:val="single"/>
          </w:rPr>
          <w:t>Inscripción de prestador turístico — Establecimientos rurales y/o bodegas</w:t>
        </w:r>
      </w:hyperlink>
    </w:p>
    <w:p>
      <w:pPr>
        <w:pStyle w:val="SourceNote"/>
      </w:pPr>
      <w:r>
        <w:rPr>
          <w:b/>
        </w:rPr>
        <w:t xml:space="preserve">Localizador  </w:t>
      </w:r>
      <w:r>
        <w:t>Establecimientos rurales sin alojamiento; establecimientos enológicos sin alojamiento</w:t>
      </w:r>
      <w:r>
        <w:t xml:space="preserve">  ·  Consulta 2026-10-19</w:t>
      </w:r>
    </w:p>
    <w:p>
      <w:bookmarkStart w:id="217" w:name="s_TS005"/>
      <w:pPr>
        <w:pStyle w:val="BibliographyEntry"/>
      </w:pPr>
      <w:bookmarkEnd w:id="217"/>
      <w:r>
        <w:rPr>
          <w:b/>
        </w:rPr>
        <w:t xml:space="preserve">TS005  </w:t>
      </w:r>
      <w:hyperlink r:id="rId89">
        <w:r>
          <w:rPr>
            <w:color w:val="245C88"/>
            <w:u w:val="single"/>
          </w:rPr>
          <w:t>Inscripción de prestador turístico — Turismo aventura</w:t>
        </w:r>
      </w:hyperlink>
    </w:p>
    <w:p>
      <w:pPr>
        <w:pStyle w:val="SourceNote"/>
      </w:pPr>
      <w:r>
        <w:rPr>
          <w:b/>
        </w:rPr>
        <w:t xml:space="preserve">Localizador  </w:t>
      </w:r>
      <w:r>
        <w:t>Requisitos y presentación anual de póliza de responsabilidad civil</w:t>
      </w:r>
      <w:r>
        <w:t xml:space="preserve">  ·  Consulta 2026-10-19</w:t>
      </w:r>
    </w:p>
    <w:p>
      <w:bookmarkStart w:id="218" w:name="s_TS006"/>
      <w:pPr>
        <w:pStyle w:val="BibliographyEntry"/>
      </w:pPr>
      <w:bookmarkEnd w:id="218"/>
      <w:r>
        <w:rPr>
          <w:b/>
        </w:rPr>
        <w:t xml:space="preserve">TS006  </w:t>
      </w:r>
      <w:hyperlink r:id="rId90">
        <w:r>
          <w:rPr>
            <w:color w:val="245C88"/>
            <w:u w:val="single"/>
          </w:rPr>
          <w:t>Inscripción de prestador turístico — Agencia de viajes y/o transporte turístico</w:t>
        </w:r>
      </w:hyperlink>
    </w:p>
    <w:p>
      <w:pPr>
        <w:pStyle w:val="SourceNote"/>
      </w:pPr>
      <w:r>
        <w:rPr>
          <w:b/>
        </w:rPr>
        <w:t xml:space="preserve">Localizador  </w:t>
      </w:r>
      <w:r>
        <w:t>Requisitos; garantía; preinscripción y Permiso Nacional de Circulación</w:t>
      </w:r>
      <w:r>
        <w:t xml:space="preserve">  ·  Consulta 2026-10-19</w:t>
      </w:r>
    </w:p>
    <w:p>
      <w:bookmarkStart w:id="219" w:name="s_TS007"/>
      <w:pPr>
        <w:pStyle w:val="BibliographyEntry"/>
      </w:pPr>
      <w:bookmarkEnd w:id="219"/>
      <w:r>
        <w:rPr>
          <w:b/>
        </w:rPr>
        <w:t xml:space="preserve">TS007  </w:t>
      </w:r>
      <w:hyperlink r:id="rId91">
        <w:r>
          <w:rPr>
            <w:color w:val="245C88"/>
            <w:u w:val="single"/>
          </w:rPr>
          <w:t>Llamado a consultoría: diseño y desarrollo de senderos interpretativos y georrutas del Geoparque Manantiales Serranos</w:t>
        </w:r>
      </w:hyperlink>
    </w:p>
    <w:p>
      <w:pPr>
        <w:pStyle w:val="SourceNote"/>
      </w:pPr>
      <w:r>
        <w:rPr>
          <w:b/>
        </w:rPr>
        <w:t xml:space="preserve">Localizador  </w:t>
      </w:r>
      <w:r>
        <w:t>Compra Directa 316/2026; apertura anunciada para 16/10/2026 a las 15:00</w:t>
      </w:r>
      <w:r>
        <w:t xml:space="preserve">  ·  Consulta 2026-10-19</w:t>
      </w:r>
    </w:p>
    <w:p>
      <w:bookmarkStart w:id="220" w:name="s_TS008"/>
      <w:pPr>
        <w:pStyle w:val="BibliographyEntry"/>
      </w:pPr>
      <w:bookmarkEnd w:id="220"/>
      <w:r>
        <w:rPr>
          <w:b/>
        </w:rPr>
        <w:t xml:space="preserve">TS008  </w:t>
      </w:r>
      <w:hyperlink r:id="rId92">
        <w:r>
          <w:rPr>
            <w:color w:val="245C88"/>
            <w:u w:val="single"/>
          </w:rPr>
          <w:t>Lavalleja inicia proceso de transformación digital del turismo</w:t>
        </w:r>
      </w:hyperlink>
    </w:p>
    <w:p>
      <w:pPr>
        <w:pStyle w:val="SourceNote"/>
      </w:pPr>
      <w:r>
        <w:rPr>
          <w:b/>
        </w:rPr>
        <w:t xml:space="preserve">Localizador  </w:t>
      </w:r>
      <w:r>
        <w:t>Piloto Turismo 4.0; cooperación técnica BID UR-T1316; nueve meses de trabajo previstos</w:t>
      </w:r>
      <w:r>
        <w:t xml:space="preserve">  ·  Consulta 2026-10-19</w:t>
      </w:r>
    </w:p>
    <w:p>
      <w:bookmarkStart w:id="221" w:name="s_TS009"/>
      <w:pPr>
        <w:pStyle w:val="BibliographyEntry"/>
      </w:pPr>
      <w:bookmarkEnd w:id="221"/>
      <w:r>
        <w:rPr>
          <w:b/>
        </w:rPr>
        <w:t xml:space="preserve">TS009  </w:t>
      </w:r>
      <w:hyperlink r:id="rId93">
        <w:r>
          <w:rPr>
            <w:color w:val="245C88"/>
            <w:u w:val="single"/>
          </w:rPr>
          <w:t>Especialización en Turismo Sostenible</w:t>
        </w:r>
      </w:hyperlink>
    </w:p>
    <w:p>
      <w:pPr>
        <w:pStyle w:val="SourceNote"/>
      </w:pPr>
      <w:r>
        <w:rPr>
          <w:b/>
        </w:rPr>
        <w:t xml:space="preserve">Localizador  </w:t>
      </w:r>
      <w:r>
        <w:t>Ubicación Minas; modalidad en línea; duración nueve meses; inicio 18/05/2026</w:t>
      </w:r>
      <w:r>
        <w:t xml:space="preserve">  ·  Consulta 2026-10-19</w:t>
      </w:r>
    </w:p>
    <w:p>
      <w:bookmarkStart w:id="222" w:name="s_TS010"/>
      <w:pPr>
        <w:pStyle w:val="BibliographyEntry"/>
      </w:pPr>
      <w:bookmarkEnd w:id="222"/>
      <w:r>
        <w:rPr>
          <w:b/>
        </w:rPr>
        <w:t xml:space="preserve">TS010  </w:t>
      </w:r>
      <w:hyperlink r:id="rId94">
        <w:r>
          <w:rPr>
            <w:color w:val="245C88"/>
            <w:u w:val="single"/>
          </w:rPr>
          <w:t>Tecnicatura en Comunicación Creativa y Entretenimiento Digital</w:t>
        </w:r>
      </w:hyperlink>
    </w:p>
    <w:p>
      <w:pPr>
        <w:pStyle w:val="SourceNote"/>
      </w:pPr>
      <w:r>
        <w:rPr>
          <w:b/>
        </w:rPr>
        <w:t xml:space="preserve">Localizador  </w:t>
      </w:r>
      <w:r>
        <w:t>Minas; semipresencial; dos años; áreas curriculares</w:t>
      </w:r>
      <w:r>
        <w:t xml:space="preserve">  ·  Consulta 2026-10-19</w:t>
      </w:r>
    </w:p>
    <w:p>
      <w:bookmarkStart w:id="223" w:name="s_TS011"/>
      <w:pPr>
        <w:pStyle w:val="BibliographyEntry"/>
      </w:pPr>
      <w:bookmarkEnd w:id="223"/>
      <w:r>
        <w:rPr>
          <w:b/>
        </w:rPr>
        <w:t xml:space="preserve">TS011  </w:t>
      </w:r>
      <w:hyperlink r:id="rId95">
        <w:r>
          <w:rPr>
            <w:color w:val="245C88"/>
            <w:u w:val="single"/>
          </w:rPr>
          <w:t>Lavalleja: se inauguró Centro de atención al cliente de Farmashop con 40 jóvenes capacitados por INEFOP</w:t>
        </w:r>
      </w:hyperlink>
    </w:p>
    <w:p>
      <w:pPr>
        <w:pStyle w:val="SourceNote"/>
      </w:pPr>
      <w:r>
        <w:rPr>
          <w:b/>
        </w:rPr>
        <w:t xml:space="preserve">Localizador  </w:t>
      </w:r>
      <w:r>
        <w:t>Inauguración de Servicio de Experiencia Omnicanal en Minas el 04/10/2024</w:t>
      </w:r>
      <w:r>
        <w:t xml:space="preserve">  ·  Consulta 2026-10-19</w:t>
      </w:r>
    </w:p>
    <w:p>
      <w:bookmarkStart w:id="224" w:name="s_TS012"/>
      <w:pPr>
        <w:pStyle w:val="BibliographyEntry"/>
      </w:pPr>
      <w:bookmarkEnd w:id="224"/>
      <w:r>
        <w:rPr>
          <w:b/>
        </w:rPr>
        <w:t xml:space="preserve">TS012  </w:t>
      </w:r>
      <w:hyperlink r:id="rId96">
        <w:r>
          <w:rPr>
            <w:color w:val="245C88"/>
            <w:u w:val="single"/>
          </w:rPr>
          <w:t>Semana de Lavalleja: la fiesta de nuestros pueblos llega a 13 localidades y consolida la integración departamental</w:t>
        </w:r>
      </w:hyperlink>
    </w:p>
    <w:p>
      <w:pPr>
        <w:pStyle w:val="SourceNote"/>
      </w:pPr>
      <w:r>
        <w:rPr>
          <w:b/>
        </w:rPr>
        <w:t xml:space="preserve">Localizador  </w:t>
      </w:r>
      <w:r>
        <w:t>Días de los Pueblos: programación del 2 al 31 de octubre de 2026</w:t>
      </w:r>
      <w:r>
        <w:t xml:space="preserve">  ·  Consulta 2026-10-19</w:t>
      </w:r>
    </w:p>
    <w:p>
      <w:bookmarkStart w:id="225" w:name="s_TS013"/>
      <w:pPr>
        <w:pStyle w:val="BibliographyEntry"/>
      </w:pPr>
      <w:bookmarkEnd w:id="225"/>
      <w:r>
        <w:rPr>
          <w:b/>
        </w:rPr>
        <w:t xml:space="preserve">TS013  </w:t>
      </w:r>
      <w:hyperlink r:id="rId77">
        <w:r>
          <w:rPr>
            <w:color w:val="245C88"/>
            <w:u w:val="single"/>
          </w:rPr>
          <w:t>Lavalleja suma nuevos Ecopuntos para recuperar materiales reciclables</w:t>
        </w:r>
      </w:hyperlink>
    </w:p>
    <w:p>
      <w:pPr>
        <w:pStyle w:val="SourceNote"/>
      </w:pPr>
      <w:r>
        <w:rPr>
          <w:b/>
        </w:rPr>
        <w:t xml:space="preserve">Localizador  </w:t>
      </w:r>
      <w:r>
        <w:t>Primeros 15 ecopuntos en Minas; total de 60 previsto</w:t>
      </w:r>
      <w:r>
        <w:t xml:space="preserve">  ·  Consulta 2026-10-19</w:t>
      </w:r>
    </w:p>
    <w:p>
      <w:bookmarkStart w:id="226" w:name="s_TS014"/>
      <w:pPr>
        <w:pStyle w:val="BibliographyEntry"/>
      </w:pPr>
      <w:bookmarkEnd w:id="226"/>
      <w:r>
        <w:rPr>
          <w:b/>
        </w:rPr>
        <w:t xml:space="preserve">TS014  </w:t>
      </w:r>
      <w:hyperlink r:id="rId97">
        <w:r>
          <w:rPr>
            <w:color w:val="245C88"/>
            <w:u w:val="single"/>
          </w:rPr>
          <w:t>Ambiente: avances en el vertedero, formalización de clasificadores y plan de gestión integral de residuos</w:t>
        </w:r>
      </w:hyperlink>
    </w:p>
    <w:p>
      <w:pPr>
        <w:pStyle w:val="SourceNote"/>
      </w:pPr>
      <w:r>
        <w:rPr>
          <w:b/>
        </w:rPr>
        <w:t xml:space="preserve">Localizador  </w:t>
      </w:r>
      <w:r>
        <w:t>Clasificación, convenio Plan VALE, espacio provisorio y futura planta</w:t>
      </w:r>
      <w:r>
        <w:t xml:space="preserve">  ·  Consulta 2026-10-19</w:t>
      </w:r>
    </w:p>
    <w:p>
      <w:bookmarkStart w:id="227" w:name="s_TS015"/>
      <w:pPr>
        <w:pStyle w:val="BibliographyEntry"/>
      </w:pPr>
      <w:bookmarkEnd w:id="227"/>
      <w:r>
        <w:rPr>
          <w:b/>
        </w:rPr>
        <w:t xml:space="preserve">TS015  </w:t>
      </w:r>
      <w:hyperlink r:id="rId98">
        <w:r>
          <w:rPr>
            <w:color w:val="245C88"/>
            <w:u w:val="single"/>
          </w:rPr>
          <w:t>MVOT lanza laboratorio urbano para reactivar inmuebles vacíos y degradados</w:t>
        </w:r>
      </w:hyperlink>
    </w:p>
    <w:p>
      <w:pPr>
        <w:pStyle w:val="SourceNote"/>
      </w:pPr>
      <w:r>
        <w:rPr>
          <w:b/>
        </w:rPr>
        <w:t xml:space="preserve">Localizador  </w:t>
      </w:r>
      <w:r>
        <w:t>Piloto de economía circular urbana en Minas; monitoreo territorial en Villa Serrana</w:t>
      </w:r>
      <w:r>
        <w:t xml:space="preserve">  ·  Consulta 2026-10-19</w:t>
      </w:r>
    </w:p>
    <w:p>
      <w:bookmarkStart w:id="228" w:name="s_TS016"/>
      <w:pPr>
        <w:pStyle w:val="BibliographyEntry"/>
      </w:pPr>
      <w:bookmarkEnd w:id="228"/>
      <w:r>
        <w:rPr>
          <w:b/>
        </w:rPr>
        <w:t xml:space="preserve">TS016  </w:t>
      </w:r>
      <w:hyperlink r:id="rId99">
        <w:r>
          <w:rPr>
            <w:color w:val="245C88"/>
            <w:u w:val="single"/>
          </w:rPr>
          <w:t>Resolución 4018/024 — Puesta de manifiesto del avance del Plan Local de Minas</w:t>
        </w:r>
      </w:hyperlink>
    </w:p>
    <w:p>
      <w:pPr>
        <w:pStyle w:val="SourceNote"/>
      </w:pPr>
      <w:r>
        <w:rPr>
          <w:b/>
        </w:rPr>
        <w:t xml:space="preserve">Localizador  </w:t>
      </w:r>
      <w:r>
        <w:t>Puesta de manifiesto por 30 días del avance y documentos asociados</w:t>
      </w:r>
      <w:r>
        <w:t xml:space="preserve">  ·  Consulta 2026-10-19</w:t>
      </w:r>
    </w:p>
    <w:p>
      <w:bookmarkStart w:id="229" w:name="s_TS017"/>
      <w:pPr>
        <w:pStyle w:val="BibliographyEntry"/>
      </w:pPr>
      <w:bookmarkEnd w:id="229"/>
      <w:r>
        <w:rPr>
          <w:b/>
        </w:rPr>
        <w:t xml:space="preserve">TS017  </w:t>
      </w:r>
      <w:hyperlink r:id="rId100">
        <w:r>
          <w:rPr>
            <w:color w:val="245C88"/>
            <w:u w:val="single"/>
          </w:rPr>
          <w:t>MVOT firmó convenios con 18 intendencias para fortalecer el ordenamiento territorial</w:t>
        </w:r>
      </w:hyperlink>
    </w:p>
    <w:p>
      <w:pPr>
        <w:pStyle w:val="SourceNote"/>
      </w:pPr>
      <w:r>
        <w:rPr>
          <w:b/>
        </w:rPr>
        <w:t xml:space="preserve">Localizador  </w:t>
      </w:r>
      <w:r>
        <w:t>Lavalleja: continuación del Plan Local de Minas e inventario patrimonial</w:t>
      </w:r>
      <w:r>
        <w:t xml:space="preserve">  ·  Consulta 2026-10-19</w:t>
      </w:r>
    </w:p>
    <w:p>
      <w:bookmarkStart w:id="230" w:name="s_TS018"/>
      <w:pPr>
        <w:pStyle w:val="BibliographyEntry"/>
      </w:pPr>
      <w:bookmarkEnd w:id="230"/>
      <w:r>
        <w:rPr>
          <w:b/>
        </w:rPr>
        <w:t xml:space="preserve">TS018  </w:t>
      </w:r>
      <w:hyperlink r:id="rId101">
        <w:r>
          <w:rPr>
            <w:color w:val="245C88"/>
            <w:u w:val="single"/>
          </w:rPr>
          <w:t>Declaración de Red Ferroviaria 2025</w:t>
        </w:r>
      </w:hyperlink>
    </w:p>
    <w:p>
      <w:pPr>
        <w:pStyle w:val="SourceNote"/>
      </w:pPr>
      <w:r>
        <w:rPr>
          <w:b/>
        </w:rPr>
        <w:t xml:space="preserve">Localizador  </w:t>
      </w:r>
      <w:r>
        <w:t>Tabla 2 y anexos 3, 4 y 8; páginas PDF 6, 22–26 y 68</w:t>
      </w:r>
      <w:r>
        <w:t xml:space="preserve">  ·  Consulta 2026-10-19</w:t>
      </w:r>
    </w:p>
    <w:p>
      <w:bookmarkStart w:id="231" w:name="s_TS019"/>
      <w:pPr>
        <w:pStyle w:val="BibliographyEntry"/>
      </w:pPr>
      <w:bookmarkEnd w:id="231"/>
      <w:r>
        <w:rPr>
          <w:b/>
        </w:rPr>
        <w:t xml:space="preserve">TS019  </w:t>
      </w:r>
      <w:hyperlink r:id="rId102">
        <w:r>
          <w:rPr>
            <w:color w:val="245C88"/>
            <w:u w:val="single"/>
          </w:rPr>
          <w:t>Inauguración de 40 kilómetros de Ruta 15 en Rocha</w:t>
        </w:r>
      </w:hyperlink>
    </w:p>
    <w:p>
      <w:pPr>
        <w:pStyle w:val="SourceNote"/>
      </w:pPr>
      <w:r>
        <w:rPr>
          <w:b/>
        </w:rPr>
        <w:t xml:space="preserve">Localizador  </w:t>
      </w:r>
      <w:r>
        <w:t>Descripción del Circuito 5, rutas 14 y 15, y alcance de la inauguración</w:t>
      </w:r>
      <w:r>
        <w:t xml:space="preserve">  ·  Consulta 2026-10-19</w:t>
      </w:r>
    </w:p>
    <w:p>
      <w:bookmarkStart w:id="232" w:name="s_TS020"/>
      <w:pPr>
        <w:pStyle w:val="BibliographyEntry"/>
      </w:pPr>
      <w:bookmarkEnd w:id="232"/>
      <w:r>
        <w:rPr>
          <w:b/>
        </w:rPr>
        <w:t xml:space="preserve">TS020  </w:t>
      </w:r>
      <w:hyperlink r:id="rId103">
        <w:r>
          <w:rPr>
            <w:color w:val="245C88"/>
            <w:u w:val="single"/>
          </w:rPr>
          <w:t>Informe departamental Lavalleja 2026</w:t>
        </w:r>
      </w:hyperlink>
    </w:p>
    <w:p>
      <w:pPr>
        <w:pStyle w:val="SourceNote"/>
      </w:pPr>
      <w:r>
        <w:rPr>
          <w:b/>
        </w:rPr>
        <w:t xml:space="preserve">Localizador  </w:t>
      </w:r>
      <w:r>
        <w:t>Lámina Lavalleja en cifras, página PDF 5 / página impresa 4</w:t>
      </w:r>
      <w:r>
        <w:t xml:space="preserve">  ·  Consulta 2026-10-19</w:t>
      </w:r>
    </w:p>
    <w:p>
      <w:bookmarkStart w:id="233" w:name="s_TS021"/>
      <w:pPr>
        <w:pStyle w:val="BibliographyEntry"/>
      </w:pPr>
      <w:bookmarkEnd w:id="233"/>
      <w:r>
        <w:rPr>
          <w:b/>
        </w:rPr>
        <w:t xml:space="preserve">TS021  </w:t>
      </w:r>
      <w:hyperlink r:id="rId104">
        <w:r>
          <w:rPr>
            <w:color w:val="245C88"/>
            <w:u w:val="single"/>
          </w:rPr>
          <w:t>Habilitación de establecimiento de larga estadía para personas mayores</w:t>
        </w:r>
      </w:hyperlink>
    </w:p>
    <w:p>
      <w:pPr>
        <w:pStyle w:val="SourceNote"/>
      </w:pPr>
      <w:r>
        <w:rPr>
          <w:b/>
        </w:rPr>
        <w:t xml:space="preserve">Localizador  </w:t>
      </w:r>
      <w:r>
        <w:t>Requisitos y secuencia de registro MSP, certificado social MIDES y habilitación</w:t>
      </w:r>
      <w:r>
        <w:t xml:space="preserve">  ·  Consulta 2026-10-19</w:t>
      </w:r>
    </w:p>
    <w:p>
      <w:bookmarkStart w:id="234" w:name="s_TS022"/>
      <w:pPr>
        <w:pStyle w:val="BibliographyEntry"/>
      </w:pPr>
      <w:bookmarkEnd w:id="234"/>
      <w:r>
        <w:rPr>
          <w:b/>
        </w:rPr>
        <w:t xml:space="preserve">TS022  </w:t>
      </w:r>
      <w:hyperlink r:id="rId105">
        <w:r>
          <w:rPr>
            <w:color w:val="245C88"/>
            <w:u w:val="single"/>
          </w:rPr>
          <w:t>Solicitud de habilitación, modificación o renovación de habilitación de servicios de salud</w:t>
        </w:r>
      </w:hyperlink>
    </w:p>
    <w:p>
      <w:pPr>
        <w:pStyle w:val="SourceNote"/>
      </w:pPr>
      <w:r>
        <w:rPr>
          <w:b/>
        </w:rPr>
        <w:t xml:space="preserve">Localizador  </w:t>
      </w:r>
      <w:r>
        <w:t>Evaluación de pertinencia; requisitos específicos; direcciones departamentales de salud</w:t>
      </w:r>
      <w:r>
        <w:t xml:space="preserve">  ·  Consulta 2026-10-19</w:t>
      </w:r>
    </w:p>
    <w:p>
      <w:bookmarkStart w:id="235" w:name="s_TS023"/>
      <w:pPr>
        <w:pStyle w:val="BibliographyEntry"/>
      </w:pPr>
      <w:bookmarkEnd w:id="235"/>
      <w:r>
        <w:rPr>
          <w:b/>
        </w:rPr>
        <w:t xml:space="preserve">TS023  </w:t>
      </w:r>
      <w:hyperlink r:id="rId106">
        <w:r>
          <w:rPr>
            <w:color w:val="245C88"/>
            <w:u w:val="single"/>
          </w:rPr>
          <w:t>Habilitación de empresas que realizan servicios técnicos de equipos médicos</w:t>
        </w:r>
      </w:hyperlink>
    </w:p>
    <w:p>
      <w:pPr>
        <w:pStyle w:val="SourceNote"/>
      </w:pPr>
      <w:r>
        <w:rPr>
          <w:b/>
        </w:rPr>
        <w:t xml:space="preserve">Localizador  </w:t>
      </w:r>
      <w:r>
        <w:t>Alcance por equipos y modelos; requisitos de dirección técnica, local y procesos</w:t>
      </w:r>
      <w:r>
        <w:t xml:space="preserve">  ·  Consulta 2026-10-19</w:t>
      </w:r>
    </w:p>
    <w:p>
      <w:bookmarkStart w:id="236" w:name="s_TR001"/>
      <w:pPr>
        <w:pStyle w:val="BibliographyEntry"/>
      </w:pPr>
      <w:bookmarkEnd w:id="236"/>
      <w:r>
        <w:rPr>
          <w:b/>
        </w:rPr>
        <w:t xml:space="preserve">TR001  </w:t>
      </w:r>
      <w:hyperlink r:id="rId107">
        <w:r>
          <w:rPr>
            <w:color w:val="245C88"/>
            <w:u w:val="single"/>
          </w:rPr>
          <w:t>Ministerio de Ambiente — Solicitud de derechos de uso de agua</w:t>
        </w:r>
      </w:hyperlink>
    </w:p>
    <w:p>
      <w:pPr>
        <w:pStyle w:val="SourceNote"/>
      </w:pPr>
      <w:r>
        <w:rPr>
          <w:b/>
        </w:rPr>
        <w:t xml:space="preserve">Localizador  </w:t>
      </w:r>
      <w:r>
        <w:t>Requisitos y documentación necesaria</w:t>
      </w:r>
      <w:r>
        <w:t xml:space="preserve">  ·  Consulta 2026-10-19</w:t>
      </w:r>
    </w:p>
    <w:p>
      <w:bookmarkStart w:id="237" w:name="s_TR002"/>
      <w:pPr>
        <w:pStyle w:val="BibliographyEntry"/>
      </w:pPr>
      <w:bookmarkEnd w:id="237"/>
      <w:r>
        <w:rPr>
          <w:b/>
        </w:rPr>
        <w:t xml:space="preserve">TR002  </w:t>
      </w:r>
      <w:hyperlink r:id="rId108">
        <w:r>
          <w:rPr>
            <w:color w:val="245C88"/>
            <w:u w:val="single"/>
          </w:rPr>
          <w:t>Ministerio de Ambiente — Proceso de solicitud del derecho de uso de aguas públicas</w:t>
        </w:r>
      </w:hyperlink>
    </w:p>
    <w:p>
      <w:pPr>
        <w:pStyle w:val="SourceNote"/>
      </w:pPr>
      <w:r>
        <w:rPr>
          <w:b/>
        </w:rPr>
        <w:t xml:space="preserve">Localizador  </w:t>
      </w:r>
      <w:r>
        <w:t>Evaluación técnica y administrativa, exposición y audiencia</w:t>
      </w:r>
      <w:r>
        <w:t xml:space="preserve">  ·  Consulta 2026-10-19</w:t>
      </w:r>
    </w:p>
    <w:p>
      <w:bookmarkStart w:id="238" w:name="s_TR003"/>
      <w:pPr>
        <w:pStyle w:val="BibliographyEntry"/>
      </w:pPr>
      <w:bookmarkEnd w:id="238"/>
      <w:r>
        <w:rPr>
          <w:b/>
        </w:rPr>
        <w:t xml:space="preserve">TR003  </w:t>
      </w:r>
      <w:hyperlink r:id="rId82">
        <w:r>
          <w:rPr>
            <w:color w:val="245C88"/>
            <w:u w:val="single"/>
          </w:rPr>
          <w:t>IMPO — Decreto 226 de 2025 sobre calidad de las aguas</w:t>
        </w:r>
      </w:hyperlink>
    </w:p>
    <w:p>
      <w:pPr>
        <w:pStyle w:val="SourceNote"/>
      </w:pPr>
      <w:r>
        <w:rPr>
          <w:b/>
        </w:rPr>
        <w:t xml:space="preserve">Localizador  </w:t>
      </w:r>
      <w:r>
        <w:t>Artículos 1, 5, 8, 79, 80, 81, 82 y 83</w:t>
      </w:r>
      <w:r>
        <w:t xml:space="preserve">  ·  Consulta 2026-10-19</w:t>
      </w:r>
    </w:p>
    <w:p>
      <w:bookmarkStart w:id="239" w:name="s_TR004"/>
      <w:pPr>
        <w:pStyle w:val="BibliographyEntry"/>
      </w:pPr>
      <w:bookmarkEnd w:id="239"/>
      <w:r>
        <w:rPr>
          <w:b/>
        </w:rPr>
        <w:t xml:space="preserve">TR004  </w:t>
      </w:r>
      <w:hyperlink r:id="rId109">
        <w:r>
          <w:rPr>
            <w:color w:val="245C88"/>
            <w:u w:val="single"/>
          </w:rPr>
          <w:t>Ministerio de Ambiente — Reglamento para la gestión ambientalmente adecuada de residuos sólidos industriales</w:t>
        </w:r>
      </w:hyperlink>
    </w:p>
    <w:p>
      <w:pPr>
        <w:pStyle w:val="SourceNote"/>
      </w:pPr>
      <w:r>
        <w:rPr>
          <w:b/>
        </w:rPr>
        <w:t xml:space="preserve">Localizador  </w:t>
      </w:r>
      <w:r>
        <w:t>Ámbito de aplicación y obligaciones</w:t>
      </w:r>
      <w:r>
        <w:t xml:space="preserve">  ·  Consulta 2026-10-19</w:t>
      </w:r>
    </w:p>
    <w:p>
      <w:bookmarkStart w:id="240" w:name="s_TR005"/>
      <w:pPr>
        <w:pStyle w:val="BibliographyEntry"/>
      </w:pPr>
      <w:bookmarkEnd w:id="240"/>
      <w:r>
        <w:rPr>
          <w:b/>
        </w:rPr>
        <w:t xml:space="preserve">TR005  </w:t>
      </w:r>
      <w:hyperlink r:id="rId110">
        <w:r>
          <w:rPr>
            <w:color w:val="245C88"/>
            <w:u w:val="single"/>
          </w:rPr>
          <w:t>Ministerio de Ambiente — Plan de gestión de residuos sólidos PGRS</w:t>
        </w:r>
      </w:hyperlink>
    </w:p>
    <w:p>
      <w:pPr>
        <w:pStyle w:val="SourceNote"/>
      </w:pPr>
      <w:r>
        <w:rPr>
          <w:b/>
        </w:rPr>
        <w:t xml:space="preserve">Localizador  </w:t>
      </w:r>
      <w:r>
        <w:t>Requisitos y actualización del plan</w:t>
      </w:r>
      <w:r>
        <w:t xml:space="preserve">  ·  Consulta 2026-10-19</w:t>
      </w:r>
    </w:p>
    <w:p>
      <w:bookmarkStart w:id="241" w:name="s_TR006"/>
      <w:pPr>
        <w:pStyle w:val="BibliographyEntry"/>
      </w:pPr>
      <w:bookmarkEnd w:id="241"/>
      <w:r>
        <w:rPr>
          <w:b/>
        </w:rPr>
        <w:t xml:space="preserve">TR006  </w:t>
      </w:r>
      <w:hyperlink r:id="rId111">
        <w:r>
          <w:rPr>
            <w:color w:val="245C88"/>
            <w:u w:val="single"/>
          </w:rPr>
          <w:t>MIEM — Parques industriales y parques científico tecnológicos</w:t>
        </w:r>
      </w:hyperlink>
    </w:p>
    <w:p>
      <w:pPr>
        <w:pStyle w:val="SourceNote"/>
      </w:pPr>
      <w:r>
        <w:rPr>
          <w:b/>
        </w:rPr>
        <w:t xml:space="preserve">Localizador  </w:t>
      </w:r>
      <w:r>
        <w:t>Régimen de parques y normativa</w:t>
      </w:r>
      <w:r>
        <w:t xml:space="preserve">  ·  Consulta 2026-10-19</w:t>
      </w:r>
    </w:p>
    <w:p>
      <w:bookmarkStart w:id="242" w:name="s_TR007"/>
      <w:pPr>
        <w:pStyle w:val="BibliographyEntry"/>
      </w:pPr>
      <w:bookmarkEnd w:id="242"/>
      <w:r>
        <w:rPr>
          <w:b/>
        </w:rPr>
        <w:t xml:space="preserve">TR007  </w:t>
      </w:r>
      <w:hyperlink r:id="rId112">
        <w:r>
          <w:rPr>
            <w:color w:val="245C88"/>
            <w:u w:val="single"/>
          </w:rPr>
          <w:t>MIEM — Usuario de parque industrial o científico tecnológico bajo Ley 19784</w:t>
        </w:r>
      </w:hyperlink>
    </w:p>
    <w:p>
      <w:pPr>
        <w:pStyle w:val="SourceNote"/>
      </w:pPr>
      <w:r>
        <w:rPr>
          <w:b/>
        </w:rPr>
        <w:t xml:space="preserve">Localizador  </w:t>
      </w:r>
      <w:r>
        <w:t>Requisitos del usuario</w:t>
      </w:r>
      <w:r>
        <w:t xml:space="preserve">  ·  Consulta 2026-10-19</w:t>
      </w:r>
    </w:p>
    <w:p>
      <w:bookmarkStart w:id="243" w:name="s_TR008"/>
      <w:pPr>
        <w:pStyle w:val="BibliographyEntry"/>
      </w:pPr>
      <w:bookmarkEnd w:id="243"/>
      <w:r>
        <w:rPr>
          <w:b/>
        </w:rPr>
        <w:t xml:space="preserve">TR008  </w:t>
      </w:r>
      <w:hyperlink r:id="rId113">
        <w:r>
          <w:rPr>
            <w:color w:val="245C88"/>
            <w:u w:val="single"/>
          </w:rPr>
          <w:t>MIEM — Directorio de Empresas Industriales y certificado DEI</w:t>
        </w:r>
      </w:hyperlink>
    </w:p>
    <w:p>
      <w:pPr>
        <w:pStyle w:val="SourceNote"/>
      </w:pPr>
      <w:r>
        <w:rPr>
          <w:b/>
        </w:rPr>
        <w:t xml:space="preserve">Localizador  </w:t>
      </w:r>
      <w:r>
        <w:t>Inscripción y certificado</w:t>
      </w:r>
      <w:r>
        <w:t xml:space="preserve">  ·  Consulta 2026-10-19</w:t>
      </w:r>
    </w:p>
    <w:p>
      <w:bookmarkStart w:id="244" w:name="s_TR009"/>
      <w:pPr>
        <w:pStyle w:val="BibliographyEntry"/>
      </w:pPr>
      <w:bookmarkEnd w:id="244"/>
      <w:r>
        <w:rPr>
          <w:b/>
        </w:rPr>
        <w:t xml:space="preserve">TR009  </w:t>
      </w:r>
      <w:hyperlink r:id="rId114">
        <w:r>
          <w:rPr>
            <w:color w:val="245C88"/>
            <w:u w:val="single"/>
          </w:rPr>
          <w:t>IMPO — Decreto 150 de 2007 artículo 161 BIS sobre software</w:t>
        </w:r>
      </w:hyperlink>
    </w:p>
    <w:p>
      <w:pPr>
        <w:pStyle w:val="SourceNote"/>
      </w:pPr>
      <w:r>
        <w:rPr>
          <w:b/>
        </w:rPr>
        <w:t xml:space="preserve">Localizador  </w:t>
      </w:r>
      <w:r>
        <w:t>Artículo 161 BIS, apartados i y ii</w:t>
      </w:r>
      <w:r>
        <w:t xml:space="preserve">  ·  Consulta 2026-10-19</w:t>
      </w:r>
    </w:p>
    <w:p>
      <w:bookmarkStart w:id="245" w:name="s_TR010"/>
      <w:pPr>
        <w:pStyle w:val="BibliographyEntry"/>
      </w:pPr>
      <w:bookmarkEnd w:id="245"/>
      <w:r>
        <w:rPr>
          <w:b/>
        </w:rPr>
        <w:t xml:space="preserve">TR010  </w:t>
      </w:r>
      <w:hyperlink r:id="rId115">
        <w:r>
          <w:rPr>
            <w:color w:val="245C88"/>
            <w:u w:val="single"/>
          </w:rPr>
          <w:t>IMPO — Texto Ordenado 2023 Título 4 artículo 66</w:t>
        </w:r>
      </w:hyperlink>
    </w:p>
    <w:p>
      <w:pPr>
        <w:pStyle w:val="SourceNote"/>
      </w:pPr>
      <w:r>
        <w:rPr>
          <w:b/>
        </w:rPr>
        <w:t xml:space="preserve">Localizador  </w:t>
      </w:r>
      <w:r>
        <w:t>Artículo 66</w:t>
      </w:r>
      <w:r>
        <w:t xml:space="preserve">  ·  Consulta 2026-10-19</w:t>
      </w:r>
    </w:p>
    <w:p>
      <w:bookmarkStart w:id="246" w:name="s_TR011"/>
      <w:pPr>
        <w:pStyle w:val="BibliographyEntry"/>
      </w:pPr>
      <w:bookmarkEnd w:id="246"/>
      <w:r>
        <w:rPr>
          <w:b/>
        </w:rPr>
        <w:t xml:space="preserve">TR011  </w:t>
      </w:r>
      <w:hyperlink r:id="rId116">
        <w:r>
          <w:rPr>
            <w:color w:val="245C88"/>
            <w:u w:val="single"/>
          </w:rPr>
          <w:t>URCDP — Obligaciones de responsables y encargados del tratamiento de datos</w:t>
        </w:r>
      </w:hyperlink>
    </w:p>
    <w:p>
      <w:pPr>
        <w:pStyle w:val="SourceNote"/>
      </w:pPr>
      <w:r>
        <w:rPr>
          <w:b/>
        </w:rPr>
        <w:t xml:space="preserve">Localizador  </w:t>
      </w:r>
      <w:r>
        <w:t>Obligaciones, seguridad, privacidad por diseño y evaluación de impacto</w:t>
      </w:r>
      <w:r>
        <w:t xml:space="preserve">  ·  Consulta 2026-10-19</w:t>
      </w:r>
    </w:p>
    <w:p>
      <w:bookmarkStart w:id="247" w:name="s_TR012"/>
      <w:pPr>
        <w:pStyle w:val="BibliographyEntry"/>
      </w:pPr>
      <w:bookmarkEnd w:id="247"/>
      <w:r>
        <w:rPr>
          <w:b/>
        </w:rPr>
        <w:t xml:space="preserve">TR012  </w:t>
      </w:r>
      <w:hyperlink r:id="rId117">
        <w:r>
          <w:rPr>
            <w:color w:val="245C88"/>
            <w:u w:val="single"/>
          </w:rPr>
          <w:t>Intendencia Departamental de Lavalleja — Rodaje Caza y Pesca y oficina Lavalleja Filma</w:t>
        </w:r>
      </w:hyperlink>
    </w:p>
    <w:p>
      <w:pPr>
        <w:pStyle w:val="SourceNote"/>
      </w:pPr>
      <w:r>
        <w:rPr>
          <w:b/>
        </w:rPr>
        <w:t xml:space="preserve">Localizador  </w:t>
      </w:r>
      <w:r>
        <w:t>Desarrollo del rodaje y descripción de Lavalleja Filma</w:t>
      </w:r>
      <w:r>
        <w:t xml:space="preserve">  ·  Consulta 2026-10-19</w:t>
      </w:r>
    </w:p>
    <w:p>
      <w:bookmarkStart w:id="248" w:name="s_TR013"/>
      <w:pPr>
        <w:pStyle w:val="BibliographyEntry"/>
      </w:pPr>
      <w:bookmarkEnd w:id="248"/>
      <w:r>
        <w:rPr>
          <w:b/>
        </w:rPr>
        <w:t xml:space="preserve">TR013  </w:t>
      </w:r>
      <w:hyperlink r:id="rId118">
        <w:r>
          <w:rPr>
            <w:color w:val="245C88"/>
            <w:u w:val="single"/>
          </w:rPr>
          <w:t>ACAU — Presentación de instrumentos del sector audiovisual 2026</w:t>
        </w:r>
      </w:hyperlink>
    </w:p>
    <w:p>
      <w:pPr>
        <w:pStyle w:val="SourceNote"/>
      </w:pPr>
      <w:r>
        <w:rPr>
          <w:b/>
        </w:rPr>
        <w:t xml:space="preserve">Localizador  </w:t>
      </w:r>
      <w:r>
        <w:t>Fondos y tipos de convocatorias</w:t>
      </w:r>
      <w:r>
        <w:t xml:space="preserve">  ·  Consulta 2026-10-19</w:t>
      </w:r>
    </w:p>
    <w:p>
      <w:bookmarkStart w:id="249" w:name="s_TR014"/>
      <w:pPr>
        <w:pStyle w:val="BibliographyEntry"/>
      </w:pPr>
      <w:bookmarkEnd w:id="249"/>
      <w:r>
        <w:rPr>
          <w:b/>
        </w:rPr>
        <w:t xml:space="preserve">TR014  </w:t>
      </w:r>
      <w:hyperlink r:id="rId119">
        <w:r>
          <w:rPr>
            <w:color w:val="245C88"/>
            <w:u w:val="single"/>
          </w:rPr>
          <w:t>ACAU — Convocatorias 2026</w:t>
        </w:r>
      </w:hyperlink>
    </w:p>
    <w:p>
      <w:pPr>
        <w:pStyle w:val="SourceNote"/>
      </w:pPr>
      <w:r>
        <w:rPr>
          <w:b/>
        </w:rPr>
        <w:t xml:space="preserve">Localizador  </w:t>
      </w:r>
      <w:r>
        <w:t>Directorio de convocatorias y bases de cada instrumento</w:t>
      </w:r>
      <w:r>
        <w:t xml:space="preserve">  ·  Consulta 2026-10-19</w:t>
      </w:r>
    </w:p>
    <w:p>
      <w:bookmarkStart w:id="250" w:name="s_TR015"/>
      <w:pPr>
        <w:pStyle w:val="BibliographyEntry"/>
      </w:pPr>
      <w:bookmarkEnd w:id="250"/>
      <w:r>
        <w:rPr>
          <w:b/>
        </w:rPr>
        <w:t xml:space="preserve">TR015  </w:t>
      </w:r>
      <w:hyperlink r:id="rId120">
        <w:r>
          <w:rPr>
            <w:color w:val="245C88"/>
            <w:u w:val="single"/>
          </w:rPr>
          <w:t>MGAP — Solicitud para operar con cannabis no psicoactivo</w:t>
        </w:r>
      </w:hyperlink>
    </w:p>
    <w:p>
      <w:pPr>
        <w:pStyle w:val="SourceNote"/>
      </w:pPr>
      <w:r>
        <w:rPr>
          <w:b/>
        </w:rPr>
        <w:t xml:space="preserve">Localizador  </w:t>
      </w:r>
      <w:r>
        <w:t>Requisitos, proyecto y localización</w:t>
      </w:r>
      <w:r>
        <w:t xml:space="preserve">  ·  Consulta 2026-10-19</w:t>
      </w:r>
    </w:p>
    <w:p>
      <w:bookmarkStart w:id="251" w:name="s_TR016"/>
      <w:pPr>
        <w:pStyle w:val="BibliographyEntry"/>
      </w:pPr>
      <w:bookmarkEnd w:id="251"/>
      <w:r>
        <w:rPr>
          <w:b/>
        </w:rPr>
        <w:t xml:space="preserve">TR016  </w:t>
      </w:r>
      <w:hyperlink r:id="rId121">
        <w:r>
          <w:rPr>
            <w:color w:val="245C88"/>
            <w:u w:val="single"/>
          </w:rPr>
          <w:t>MGAP — Licencia de autorización de operación con cáñamo</w:t>
        </w:r>
      </w:hyperlink>
    </w:p>
    <w:p>
      <w:pPr>
        <w:pStyle w:val="SourceNote"/>
      </w:pPr>
      <w:r>
        <w:rPr>
          <w:b/>
        </w:rPr>
        <w:t xml:space="preserve">Localizador  </w:t>
      </w:r>
      <w:r>
        <w:t>Alcance de la licencia</w:t>
      </w:r>
      <w:r>
        <w:t xml:space="preserve">  ·  Consulta 2026-10-19</w:t>
      </w:r>
    </w:p>
    <w:p>
      <w:bookmarkStart w:id="252" w:name="s_TR017"/>
      <w:pPr>
        <w:pStyle w:val="BibliographyEntry"/>
      </w:pPr>
      <w:bookmarkEnd w:id="252"/>
      <w:r>
        <w:rPr>
          <w:b/>
        </w:rPr>
        <w:t xml:space="preserve">TR017  </w:t>
      </w:r>
      <w:hyperlink r:id="rId122">
        <w:r>
          <w:rPr>
            <w:color w:val="245C88"/>
            <w:u w:val="single"/>
          </w:rPr>
          <w:t>IRCCA — Licencias de cannabis de uso medicinal e investigación científica</w:t>
        </w:r>
      </w:hyperlink>
    </w:p>
    <w:p>
      <w:pPr>
        <w:pStyle w:val="SourceNote"/>
      </w:pPr>
      <w:r>
        <w:rPr>
          <w:b/>
        </w:rPr>
        <w:t xml:space="preserve">Localizador  </w:t>
      </w:r>
      <w:r>
        <w:t>Objeto de la licencia y requisitos</w:t>
      </w:r>
      <w:r>
        <w:t xml:space="preserve">  ·  Consulta 2026-10-19</w:t>
      </w:r>
    </w:p>
    <w:p>
      <w:bookmarkStart w:id="253" w:name="s_TR018"/>
      <w:pPr>
        <w:pStyle w:val="BibliographyEntry"/>
      </w:pPr>
      <w:bookmarkEnd w:id="253"/>
      <w:r>
        <w:rPr>
          <w:b/>
        </w:rPr>
        <w:t xml:space="preserve">TR018  </w:t>
      </w:r>
      <w:hyperlink r:id="rId123">
        <w:r>
          <w:rPr>
            <w:color w:val="245C88"/>
            <w:u w:val="single"/>
          </w:rPr>
          <w:t>MGAP DINARA — Presentación de proyectos de desarrollo de acuicultura</w:t>
        </w:r>
      </w:hyperlink>
    </w:p>
    <w:p>
      <w:pPr>
        <w:pStyle w:val="SourceNote"/>
      </w:pPr>
      <w:r>
        <w:rPr>
          <w:b/>
        </w:rPr>
        <w:t xml:space="preserve">Localizador  </w:t>
      </w:r>
      <w:r>
        <w:t>Proyecto, titular y vínculo con el predio</w:t>
      </w:r>
      <w:r>
        <w:t xml:space="preserve">  ·  Consulta 2026-10-19</w:t>
      </w:r>
    </w:p>
    <w:p>
      <w:bookmarkStart w:id="254" w:name="s_TR019"/>
      <w:pPr>
        <w:pStyle w:val="BibliographyEntry"/>
      </w:pPr>
      <w:bookmarkEnd w:id="254"/>
      <w:r>
        <w:rPr>
          <w:b/>
        </w:rPr>
        <w:t xml:space="preserve">TR019  </w:t>
      </w:r>
      <w:hyperlink r:id="rId124">
        <w:r>
          <w:rPr>
            <w:color w:val="245C88"/>
            <w:u w:val="single"/>
          </w:rPr>
          <w:t>MGAP — Aplicaciones aéreas de productos fitosanitarios con drones</w:t>
        </w:r>
      </w:hyperlink>
    </w:p>
    <w:p>
      <w:pPr>
        <w:pStyle w:val="SourceNote"/>
      </w:pPr>
      <w:r>
        <w:rPr>
          <w:b/>
        </w:rPr>
        <w:t xml:space="preserve">Localizador  </w:t>
      </w:r>
      <w:r>
        <w:t>RUO, REA, carné y aplicaciones</w:t>
      </w:r>
      <w:r>
        <w:t xml:space="preserve">  ·  Consulta 2026-10-19</w:t>
      </w:r>
    </w:p>
    <w:p>
      <w:bookmarkStart w:id="255" w:name="s_TR020"/>
      <w:pPr>
        <w:pStyle w:val="BibliographyEntry"/>
      </w:pPr>
      <w:bookmarkEnd w:id="255"/>
      <w:r>
        <w:rPr>
          <w:b/>
        </w:rPr>
        <w:t xml:space="preserve">TR020  </w:t>
      </w:r>
      <w:hyperlink r:id="rId125">
        <w:r>
          <w:rPr>
            <w:color w:val="245C88"/>
            <w:u w:val="single"/>
          </w:rPr>
          <w:t>MGAP — Comunicado a productores y proveedores de aplicación con drones</w:t>
        </w:r>
      </w:hyperlink>
    </w:p>
    <w:p>
      <w:pPr>
        <w:pStyle w:val="SourceNote"/>
      </w:pPr>
      <w:r>
        <w:rPr>
          <w:b/>
        </w:rPr>
        <w:t xml:space="preserve">Localizador  </w:t>
      </w:r>
      <w:r>
        <w:t>Autorización de aplicaciones aéreas</w:t>
      </w:r>
      <w:r>
        <w:t xml:space="preserve">  ·  Consulta 2026-10-19</w:t>
      </w:r>
    </w:p>
    <w:p>
      <w:bookmarkStart w:id="256" w:name="s_TR021"/>
      <w:pPr>
        <w:pStyle w:val="BibliographyEntry"/>
      </w:pPr>
      <w:bookmarkEnd w:id="256"/>
      <w:r>
        <w:rPr>
          <w:b/>
        </w:rPr>
        <w:t xml:space="preserve">TR021  </w:t>
      </w:r>
      <w:hyperlink r:id="rId126">
        <w:r>
          <w:rPr>
            <w:color w:val="245C88"/>
            <w:u w:val="single"/>
          </w:rPr>
          <w:t>DINACIA — Registro de drones</w:t>
        </w:r>
      </w:hyperlink>
    </w:p>
    <w:p>
      <w:pPr>
        <w:pStyle w:val="SourceNote"/>
      </w:pPr>
      <w:r>
        <w:rPr>
          <w:b/>
        </w:rPr>
        <w:t xml:space="preserve">Localizador  </w:t>
      </w:r>
      <w:r>
        <w:t>Registro de drones</w:t>
      </w:r>
      <w:r>
        <w:t xml:space="preserve">  ·  Consulta 2026-10-19</w:t>
      </w:r>
    </w:p>
    <w:p>
      <w:bookmarkStart w:id="257" w:name="s_TR022"/>
      <w:pPr>
        <w:pStyle w:val="BibliographyEntry"/>
      </w:pPr>
      <w:bookmarkEnd w:id="257"/>
      <w:r>
        <w:rPr>
          <w:b/>
        </w:rPr>
        <w:t xml:space="preserve">TR022  </w:t>
      </w:r>
      <w:hyperlink r:id="rId127">
        <w:r>
          <w:rPr>
            <w:color w:val="245C88"/>
            <w:u w:val="single"/>
          </w:rPr>
          <w:t>ARCE — Inscripción de proveedores del Estado en RUPE</w:t>
        </w:r>
      </w:hyperlink>
    </w:p>
    <w:p>
      <w:pPr>
        <w:pStyle w:val="SourceNote"/>
      </w:pPr>
      <w:r>
        <w:rPr>
          <w:b/>
        </w:rPr>
        <w:t xml:space="preserve">Localizador  </w:t>
      </w:r>
      <w:r>
        <w:t>Objeto y requisitos de inscripción</w:t>
      </w:r>
      <w:r>
        <w:t xml:space="preserve">  ·  Consulta 2026-10-19</w:t>
      </w:r>
    </w:p>
    <w:p>
      <w:bookmarkStart w:id="258" w:name="s_TR023"/>
      <w:pPr>
        <w:pStyle w:val="BibliographyEntry"/>
      </w:pPr>
      <w:bookmarkEnd w:id="258"/>
      <w:r>
        <w:rPr>
          <w:b/>
        </w:rPr>
        <w:t xml:space="preserve">TR023  </w:t>
      </w:r>
      <w:hyperlink r:id="rId128">
        <w:r>
          <w:rPr>
            <w:color w:val="245C88"/>
            <w:u w:val="single"/>
          </w:rPr>
          <w:t>IMPO — Decreto 329 de 2025 sobre promoción de inversiones</w:t>
        </w:r>
      </w:hyperlink>
    </w:p>
    <w:p>
      <w:pPr>
        <w:pStyle w:val="SourceNote"/>
      </w:pPr>
      <w:r>
        <w:rPr>
          <w:b/>
        </w:rPr>
        <w:t xml:space="preserve">Localizador  </w:t>
      </w:r>
      <w:r>
        <w:t>Artículos 1, 3, 4, 10 y 23</w:t>
      </w:r>
      <w:r>
        <w:t xml:space="preserve">  ·  Consulta 2026-10-19</w:t>
      </w:r>
    </w:p>
    <w:p>
      <w:bookmarkStart w:id="259" w:name="s_TR024"/>
      <w:pPr>
        <w:pStyle w:val="BibliographyEntry"/>
      </w:pPr>
      <w:bookmarkEnd w:id="259"/>
      <w:r>
        <w:rPr>
          <w:b/>
        </w:rPr>
        <w:t xml:space="preserve">TR024  </w:t>
      </w:r>
      <w:hyperlink r:id="rId129">
        <w:r>
          <w:rPr>
            <w:color w:val="245C88"/>
            <w:u w:val="single"/>
          </w:rPr>
          <w:t>MEF COMAP — Régimen Decreto 329 de 2025</w:t>
        </w:r>
      </w:hyperlink>
    </w:p>
    <w:p>
      <w:pPr>
        <w:pStyle w:val="SourceNote"/>
      </w:pPr>
      <w:r>
        <w:rPr>
          <w:b/>
        </w:rPr>
        <w:t xml:space="preserve">Localizador  </w:t>
      </w:r>
      <w:r>
        <w:t>Normativa y criterios</w:t>
      </w:r>
      <w:r>
        <w:t xml:space="preserve">  ·  Consulta 2026-10-19</w:t>
      </w:r>
    </w:p>
    <w:p>
      <w:bookmarkStart w:id="260" w:name="s_TR025"/>
      <w:pPr>
        <w:pStyle w:val="BibliographyEntry"/>
      </w:pPr>
      <w:bookmarkEnd w:id="260"/>
      <w:r>
        <w:rPr>
          <w:b/>
        </w:rPr>
        <w:t xml:space="preserve">TR025  </w:t>
      </w:r>
      <w:hyperlink r:id="rId130">
        <w:r>
          <w:rPr>
            <w:color w:val="245C88"/>
            <w:u w:val="single"/>
          </w:rPr>
          <w:t>MEF COMAP — Herramientas del Decreto 329 de 2025</w:t>
        </w:r>
      </w:hyperlink>
    </w:p>
    <w:p>
      <w:pPr>
        <w:pStyle w:val="SourceNote"/>
      </w:pPr>
      <w:r>
        <w:rPr>
          <w:b/>
        </w:rPr>
        <w:t xml:space="preserve">Localizador  </w:t>
      </w:r>
      <w:r>
        <w:t>Documentación y simulador</w:t>
      </w:r>
      <w:r>
        <w:t xml:space="preserve">  ·  Consulta 2026-10-19</w:t>
      </w:r>
    </w:p>
    <w:p>
      <w:bookmarkStart w:id="261" w:name="s_TR026"/>
      <w:pPr>
        <w:pStyle w:val="BibliographyEntry"/>
      </w:pPr>
      <w:bookmarkEnd w:id="261"/>
      <w:r>
        <w:rPr>
          <w:b/>
        </w:rPr>
        <w:t xml:space="preserve">TR026  </w:t>
      </w:r>
      <w:hyperlink r:id="rId12">
        <w:r>
          <w:rPr>
            <w:color w:val="245C88"/>
            <w:u w:val="single"/>
          </w:rPr>
          <w:t>IMPO — Decreto 306 de 2024 sobre Arequita SNAP</w:t>
        </w:r>
      </w:hyperlink>
    </w:p>
    <w:p>
      <w:pPr>
        <w:pStyle w:val="SourceNote"/>
      </w:pPr>
      <w:r>
        <w:rPr>
          <w:b/>
        </w:rPr>
        <w:t xml:space="preserve">Localizador  </w:t>
      </w:r>
      <w:r>
        <w:t>Artículos 1 a 3, en particular literales a, d, e, l, m, q y s y párrafo final del artículo 3</w:t>
      </w:r>
      <w:r>
        <w:t xml:space="preserve">  ·  Consulta 2026-10-19</w:t>
      </w:r>
    </w:p>
    <w:p>
      <w:bookmarkStart w:id="262" w:name="s_TR027"/>
      <w:pPr>
        <w:pStyle w:val="BibliographyEntry"/>
      </w:pPr>
      <w:bookmarkEnd w:id="262"/>
      <w:r>
        <w:rPr>
          <w:b/>
        </w:rPr>
        <w:t xml:space="preserve">TR027  </w:t>
      </w:r>
      <w:hyperlink r:id="rId131">
        <w:r>
          <w:rPr>
            <w:color w:val="245C88"/>
            <w:u w:val="single"/>
          </w:rPr>
          <w:t>Ministerio de Ambiente — Barrera natural y Resolución 229 de 2015</w:t>
        </w:r>
      </w:hyperlink>
    </w:p>
    <w:p>
      <w:pPr>
        <w:pStyle w:val="SourceNote"/>
      </w:pPr>
      <w:r>
        <w:rPr>
          <w:b/>
        </w:rPr>
        <w:t xml:space="preserve">Localizador  </w:t>
      </w:r>
      <w:r>
        <w:t>Ámbito de la medida 8, actividades excluidas y cuerpos de agua nombrados</w:t>
      </w:r>
      <w:r>
        <w:t xml:space="preserve">  ·  Consulta 2026-10-19</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40" w:after="140"/>
      <w:outlineLvl w:val="0"/>
    </w:pPr>
    <w:rPr>
      <w:rFonts w:asciiTheme="majorHAnsi" w:eastAsiaTheme="majorEastAsia" w:hAnsiTheme="majorHAnsi" w:cstheme="majorBidi" w:ascii="Calibri" w:hAnsi="Calibri"/>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40" w:after="140"/>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40" w:lineRule="auto" w:before="0"/>
      <w:contextualSpacing/>
    </w:pPr>
    <w:rPr>
      <w:rFonts w:asciiTheme="majorHAnsi" w:eastAsiaTheme="majorEastAsia" w:hAnsiTheme="majorHAnsi" w:cstheme="majorBidi" w:ascii="Calibri" w:hAnsi="Calibri"/>
      <w:b w:val="0"/>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before="0"/>
    </w:pPr>
    <w:rPr>
      <w:rFonts w:asciiTheme="majorHAnsi" w:eastAsiaTheme="majorEastAsia" w:hAnsiTheme="majorHAnsi" w:cstheme="majorBidi" w:ascii="Calibri" w:hAnsi="Calibri"/>
      <w:b w:val="0"/>
      <w:i/>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cordMeta">
    <w:name w:val="RecordMeta"/>
    <w:basedOn w:val="Normal"/>
    <w:pPr>
      <w:keepNext/>
      <w:spacing w:after="80" w:line="250" w:lineRule="auto"/>
    </w:pPr>
    <w:rPr>
      <w:rFonts w:ascii="Calibri" w:hAnsi="Calibri"/>
      <w:color w:val="000000"/>
      <w:sz w:val="19"/>
    </w:rPr>
  </w:style>
  <w:style w:type="paragraph" w:customStyle="1" w:styleId="RecordConditions">
    <w:name w:val="RecordConditions"/>
    <w:basedOn w:val="Normal"/>
    <w:pPr>
      <w:keepNext/>
      <w:spacing w:after="80" w:line="250" w:lineRule="auto"/>
    </w:pPr>
    <w:rPr>
      <w:rFonts w:ascii="Calibri" w:hAnsi="Calibri"/>
      <w:color w:val="000000"/>
      <w:sz w:val="21"/>
    </w:rPr>
  </w:style>
  <w:style w:type="paragraph" w:customStyle="1" w:styleId="SourceNote">
    <w:name w:val="SourceNote"/>
    <w:basedOn w:val="Normal"/>
    <w:pPr>
      <w:spacing w:after="160" w:line="250" w:lineRule="auto"/>
    </w:pPr>
    <w:rPr>
      <w:rFonts w:ascii="Calibri" w:hAnsi="Calibri"/>
      <w:color w:val="000000"/>
      <w:sz w:val="19"/>
    </w:rPr>
  </w:style>
  <w:style w:type="paragraph" w:customStyle="1" w:styleId="BibliographyEntry">
    <w:name w:val="BibliographyEntry"/>
    <w:basedOn w:val="Normal"/>
    <w:pPr>
      <w:keepNext/>
      <w:spacing w:after="80" w:line="250" w:lineRule="auto"/>
    </w:pPr>
    <w:rPr>
      <w:rFonts w:ascii="Calibri" w:hAnsi="Calibri"/>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ub.uy/intendencia-lavalleja/sites/intendencia-lavalleja/files/2023-05/Decreto%203571%20DDOTDS.pdf" TargetMode="External"/><Relationship Id="rId11" Type="http://schemas.openxmlformats.org/officeDocument/2006/relationships/hyperlink" Target="https://www.gub.uy/intendencia-lavalleja/institucional/normativa/decreto-departamental-n-3701-fecha-21122021" TargetMode="External"/><Relationship Id="rId12" Type="http://schemas.openxmlformats.org/officeDocument/2006/relationships/hyperlink" Target="https://www.impo.com.uy/bases/decretos/306-2024" TargetMode="External"/><Relationship Id="rId13" Type="http://schemas.openxmlformats.org/officeDocument/2006/relationships/hyperlink" Target="https://www.gub.uy/intendencia-lavalleja/institucional/normativa/decreto-departamental-n-3659-fecha-10032021" TargetMode="External"/><Relationship Id="rId14" Type="http://schemas.openxmlformats.org/officeDocument/2006/relationships/hyperlink" Target="https://www.gub.uy/intendencia-lavalleja/politicas-y-gestion/plan-local-desarrollo-territorial-desarrollo-sostenible-minas" TargetMode="External"/><Relationship Id="rId15" Type="http://schemas.openxmlformats.org/officeDocument/2006/relationships/hyperlink" Target="https://www.impo.com.uy/bases/decretos-reglamento/349-2005/2" TargetMode="External"/><Relationship Id="rId16" Type="http://schemas.openxmlformats.org/officeDocument/2006/relationships/hyperlink" Target="https://www.impo.com.uy/bases/decretos/178-2009/1" TargetMode="External"/><Relationship Id="rId17" Type="http://schemas.openxmlformats.org/officeDocument/2006/relationships/hyperlink" Target="https://www.gub.uy/tramites/solicitud-autorizacion-generacion-energia-electrica" TargetMode="External"/><Relationship Id="rId18" Type="http://schemas.openxmlformats.org/officeDocument/2006/relationships/hyperlink" Target="https://www.ute.com.uy/proveedores/normativas-de-conexion/conexion-de-generacion-la-red-de-distribucion-de-media-tension" TargetMode="External"/><Relationship Id="rId19" Type="http://schemas.openxmlformats.org/officeDocument/2006/relationships/hyperlink" Target="https://www.ute.com.uy/proveedores/normativas-de-conexion/conexion-de-generacion-la-red-de-transmision" TargetMode="External"/><Relationship Id="rId20" Type="http://schemas.openxmlformats.org/officeDocument/2006/relationships/hyperlink" Target="https://www.gub.uy/tramites/registro-aerogeneradores" TargetMode="External"/><Relationship Id="rId21" Type="http://schemas.openxmlformats.org/officeDocument/2006/relationships/hyperlink" Target="https://www.gub.uy/ministerio-ambiente/sites/ministerio-ambiente/files/documentos/publicaciones/GU-EIA-006-00_20150701_Guia_EIA_Parques_Eolicos_Version_Final-para_aprobacion.pdf" TargetMode="External"/><Relationship Id="rId22" Type="http://schemas.openxmlformats.org/officeDocument/2006/relationships/hyperlink" Target="https://www.gub.uy/ministerio-ambiente/institucional/normativa/resolucion-n-561018-instructivo-para-solicitud-renovacion-autorizacion" TargetMode="External"/><Relationship Id="rId23" Type="http://schemas.openxmlformats.org/officeDocument/2006/relationships/hyperlink" Target="https://www.gub.uy/tramites/registro-generacion-suscritor" TargetMode="External"/><Relationship Id="rId24" Type="http://schemas.openxmlformats.org/officeDocument/2006/relationships/hyperlink" Target="https://www.impo.com.uy/bases/decretos/147-2023" TargetMode="External"/><Relationship Id="rId25" Type="http://schemas.openxmlformats.org/officeDocument/2006/relationships/hyperlink" Target="https://www.ute.com.uy/suscriptores" TargetMode="External"/><Relationship Id="rId26" Type="http://schemas.openxmlformats.org/officeDocument/2006/relationships/hyperlink" Target="https://www.gub.uy/ministerio-industria-energia-mineria/comunicacion/publicaciones/publicaciones-sobre-energia-solar-uruguay" TargetMode="External"/><Relationship Id="rId27" Type="http://schemas.openxmlformats.org/officeDocument/2006/relationships/hyperlink" Target="https://www.gub.uy/ministerio-industria-energia-mineria/sites/ministerio-industria-energia-mineria/files/documentos/publicaciones/Mapa%20Solar.pdf" TargetMode="External"/><Relationship Id="rId28" Type="http://schemas.openxmlformats.org/officeDocument/2006/relationships/hyperlink" Target="https://www.ambiente.gub.uy/oan/guia-para-la-evaluacion-de-impacto-ambiental-para-plantas-solares-fotovoltaicas/" TargetMode="External"/><Relationship Id="rId29" Type="http://schemas.openxmlformats.org/officeDocument/2006/relationships/hyperlink" Target="https://www.impo.com.uy/bases/leyes/18585-2009" TargetMode="External"/><Relationship Id="rId30" Type="http://schemas.openxmlformats.org/officeDocument/2006/relationships/hyperlink" Target="https://www.gub.uy/unidad-reguladora-servicios-energia-agua/institucional/normativa/resolucion-n-183022-resolucion-del-miem-actualizacion-instructivo-tecnico" TargetMode="External"/><Relationship Id="rId31" Type="http://schemas.openxmlformats.org/officeDocument/2006/relationships/hyperlink" Target="https://www.gub.uy/ministerio-industria-energia-mineria/politicas-y-gestion/generacion-energia-partir-biomasa" TargetMode="External"/><Relationship Id="rId32" Type="http://schemas.openxmlformats.org/officeDocument/2006/relationships/hyperlink" Target="https://www.gub.uy/ministerio-industria-energia-mineria/comunicacion/publicaciones/mapas-biovalor" TargetMode="External"/><Relationship Id="rId33" Type="http://schemas.openxmlformats.org/officeDocument/2006/relationships/hyperlink" Target="https://www.gub.uy/ministerio-industria-energia-mineria/comunicacion/publicaciones/documentos-tecnicos-biovalor" TargetMode="External"/><Relationship Id="rId34" Type="http://schemas.openxmlformats.org/officeDocument/2006/relationships/hyperlink" Target="https://www.gub.uy/ministerio-industria-energia-mineria/politicas-y-gestion/informacion-para-desarrolladores" TargetMode="External"/><Relationship Id="rId35" Type="http://schemas.openxmlformats.org/officeDocument/2006/relationships/hyperlink" Target="https://www.gub.uy/ministerio-trabajo-seguridad-social/sites/ministerio-trabajo-seguridad-social/files/documentos/publicaciones/Informe%20Prospectiva%20Empleo%20H2V%20Uruguay%20v.f.pdf" TargetMode="External"/><Relationship Id="rId36" Type="http://schemas.openxmlformats.org/officeDocument/2006/relationships/hyperlink" Target="https://www.ute.com.uy/noticias/almacenar-el-nuevo-desafio-de-la-generacion-renovable" TargetMode="External"/><Relationship Id="rId37" Type="http://schemas.openxmlformats.org/officeDocument/2006/relationships/hyperlink" Target="https://portal.ute.com.uy/clientes/movilidad-sostenible-principal" TargetMode="External"/><Relationship Id="rId38" Type="http://schemas.openxmlformats.org/officeDocument/2006/relationships/hyperlink" Target="https://www.ute.com.uy/noticias/la-ruta-electrica-de-ute-sigue-creciendo-sumando-el-parque-de-minas" TargetMode="External"/><Relationship Id="rId39" Type="http://schemas.openxmlformats.org/officeDocument/2006/relationships/hyperlink" Target="https://www.gub.uy/ministerio-industria-energia-mineria/comunicacion/convocatorias/certificados-eficiencia-energetica-2026-para-medidas-eficiencia-0" TargetMode="External"/><Relationship Id="rId40" Type="http://schemas.openxmlformats.org/officeDocument/2006/relationships/hyperlink" Target="https://www.gub.uy/ministerio-industria-energia-mineria/comunicacion/convocatorias/certificados-eficiencia-energetica-2026-para-medidas-eficiencia" TargetMode="External"/><Relationship Id="rId41" Type="http://schemas.openxmlformats.org/officeDocument/2006/relationships/hyperlink" Target="https://adme.com.uy/mme_admin/participantes/generadores_admin.php?remota=1" TargetMode="External"/><Relationship Id="rId42" Type="http://schemas.openxmlformats.org/officeDocument/2006/relationships/hyperlink" Target="https://www.ambiente.gub.uy/bir/manifiestos/attachments/IAR_Minas_I.pdf" TargetMode="External"/><Relationship Id="rId43" Type="http://schemas.openxmlformats.org/officeDocument/2006/relationships/hyperlink" Target="https://www.gub.uy/ministerio-industria-energia-mineria/institucional/normativa/resolucion-del-poder-ejecutivo-n-583015-r-del-sur-sa-autorizacion" TargetMode="External"/><Relationship Id="rId44" Type="http://schemas.openxmlformats.org/officeDocument/2006/relationships/hyperlink" Target="https://www.gub.uy/ministerio-industria-energia-mineria/institucional/normativa/resolucion-del-poder-ejecutivo-n-907015-r-del-sa-autorizacion-generacion" TargetMode="External"/><Relationship Id="rId45" Type="http://schemas.openxmlformats.org/officeDocument/2006/relationships/hyperlink" Target="https://www.gub.uy/ministerio-ganaderia-agricultura-pesca/sites/ministerio-ganaderia-agricultura-pesca/files/documentos/publicaciones/Censo%20General%20Agropecuario%202024%20_Vol%20I.pdf" TargetMode="External"/><Relationship Id="rId46" Type="http://schemas.openxmlformats.org/officeDocument/2006/relationships/hyperlink" Target="https://www.gub.uy/ministerio-ganaderia-agricultura-pesca/tramites-y-servicios/servicios/consulta-coneat" TargetMode="External"/><Relationship Id="rId47" Type="http://schemas.openxmlformats.org/officeDocument/2006/relationships/hyperlink" Target="https://www.gub.uy/ministerio-ganaderia-agricultura-pesca/comunicacion/noticias/2-setiembre-dia-nacional-conservacion-suelos" TargetMode="External"/><Relationship Id="rId48" Type="http://schemas.openxmlformats.org/officeDocument/2006/relationships/hyperlink" Target="https://www.gub.uy/intendencia-lavalleja/sites/intendencia-lavalleja/files/documentos/publicaciones/Memoria%20Informativa.pdf" TargetMode="External"/><Relationship Id="rId49" Type="http://schemas.openxmlformats.org/officeDocument/2006/relationships/hyperlink" Target="https://www.gub.uy/ministerio-ganaderia-agricultura-pesca/tramites-y-servicios/formularios/solicitud-habilitacion-queserias-artesanales" TargetMode="External"/><Relationship Id="rId50" Type="http://schemas.openxmlformats.org/officeDocument/2006/relationships/hyperlink" Target="https://www.gub.uy/ministerio-industria-energia-mineria/comunicacion/noticias/miem-dnpi-participo-lanzamiento-marca-queseria-artesanal-certificada" TargetMode="External"/><Relationship Id="rId51" Type="http://schemas.openxmlformats.org/officeDocument/2006/relationships/hyperlink" Target="https://www.gub.uy/ministerio-ganaderia-agricultura-pesca/comunicacion/noticias/autoridades-nacionales-acompanaron-zafra-olivos-lavalleja" TargetMode="External"/><Relationship Id="rId52" Type="http://schemas.openxmlformats.org/officeDocument/2006/relationships/hyperlink" Target="https://www.gub.uy/ministerio-ganaderia-agricultura-pesca/comunicacion/calendario-actividades/lanzamiento-nacional-cosecha-olivos-2024" TargetMode="External"/><Relationship Id="rId53" Type="http://schemas.openxmlformats.org/officeDocument/2006/relationships/hyperlink" Target="https://www.inavi.com.uy/bodegas/lavalleja/" TargetMode="External"/><Relationship Id="rId54" Type="http://schemas.openxmlformats.org/officeDocument/2006/relationships/hyperlink" Target="https://www.gub.uy/ministerio-ganaderia-agricultura-pesca/comunicacion/noticias/dia-mundial-abejas-2026-lavalleja" TargetMode="External"/><Relationship Id="rId55" Type="http://schemas.openxmlformats.org/officeDocument/2006/relationships/hyperlink" Target="https://www.gub.uy/tramites/inscripcion-registro-nacional-apicultores" TargetMode="External"/><Relationship Id="rId56" Type="http://schemas.openxmlformats.org/officeDocument/2006/relationships/hyperlink" Target="https://www.gub.uy/tramites/inscripcion-registro-nacional-salas-extraccion-miel" TargetMode="External"/><Relationship Id="rId57" Type="http://schemas.openxmlformats.org/officeDocument/2006/relationships/hyperlink" Target="https://www.impo.com.uy/bases/decretos/179-2026" TargetMode="External"/><Relationship Id="rId58" Type="http://schemas.openxmlformats.org/officeDocument/2006/relationships/hyperlink" Target="https://impo.com.uy/bases/decretos/405-2021/9" TargetMode="External"/><Relationship Id="rId59" Type="http://schemas.openxmlformats.org/officeDocument/2006/relationships/hyperlink" Target="https://impo.com.uy/bases/decretos/405-2021/9_BIS" TargetMode="External"/><Relationship Id="rId60" Type="http://schemas.openxmlformats.org/officeDocument/2006/relationships/hyperlink" Target="https://www.gub.uy/tramites/registro-ambiental-plantaciones-forestales-entre-40-100-ha" TargetMode="External"/><Relationship Id="rId61" Type="http://schemas.openxmlformats.org/officeDocument/2006/relationships/hyperlink" Target="https://www.impo.com.uy/bases/resoluciones-ma-originales/SN20260821001-2026" TargetMode="External"/><Relationship Id="rId62" Type="http://schemas.openxmlformats.org/officeDocument/2006/relationships/hyperlink" Target="https://www.impo.com.uy/bases/resoluciones-ma/SN20260814001-2026" TargetMode="External"/><Relationship Id="rId63" Type="http://schemas.openxmlformats.org/officeDocument/2006/relationships/hyperlink" Target="https://www.uruguayxxi.gub.uy/es/centro-informacion/articulo/informe-sector-forestal-2026/" TargetMode="External"/><Relationship Id="rId64" Type="http://schemas.openxmlformats.org/officeDocument/2006/relationships/hyperlink" Target="https://www.gub.uy/tramites/solicitud-corta-aprovechamiento-bosque-nativo" TargetMode="External"/><Relationship Id="rId65" Type="http://schemas.openxmlformats.org/officeDocument/2006/relationships/hyperlink" Target="https://www.gub.uy/tramites/guias-transito-productos-bosque-nativo" TargetMode="External"/><Relationship Id="rId66" Type="http://schemas.openxmlformats.org/officeDocument/2006/relationships/hyperlink" Target="https://visualizadorgeominero.dinamige.gub.uy/dinamigemovil/" TargetMode="External"/><Relationship Id="rId67" Type="http://schemas.openxmlformats.org/officeDocument/2006/relationships/hyperlink" Target="https://www.gub.uy/tramites/solicitud-informacion-afectaciones-mineras-padron" TargetMode="External"/><Relationship Id="rId68" Type="http://schemas.openxmlformats.org/officeDocument/2006/relationships/hyperlink" Target="https://www.gub.uy/tramites/concesion-explotar-servidumbres-mineras-ocupacion-yo-paso" TargetMode="External"/><Relationship Id="rId69" Type="http://schemas.openxmlformats.org/officeDocument/2006/relationships/hyperlink" Target="https://www.ancap.com.uy/1626/6/proceso-de-produccion.html" TargetMode="External"/><Relationship Id="rId70" Type="http://schemas.openxmlformats.org/officeDocument/2006/relationships/hyperlink" Target="https://www.gub.uy/ministerio-trabajo-seguridad-social/comunicacion/noticias/trabajo-industria-formacion-autoridades-visitaron-salus-nuevo-itr" TargetMode="External"/><Relationship Id="rId71" Type="http://schemas.openxmlformats.org/officeDocument/2006/relationships/hyperlink" Target="https://www.gub.uy/tramites/inscripcion-empresa-runaev" TargetMode="External"/><Relationship Id="rId72" Type="http://schemas.openxmlformats.org/officeDocument/2006/relationships/hyperlink" Target="https://www.gub.uy/congreso-intendentes/politicas-y-gestion/preguntas-frecuentes-sobre-registro-unico-nacional-alimentos-empresas-vehiculos" TargetMode="External"/><Relationship Id="rId73" Type="http://schemas.openxmlformats.org/officeDocument/2006/relationships/hyperlink" Target="https://www.gub.uy/tramites/solicitud-habilitacion-planta-elaboradora-alimentos-animales-monogastricos" TargetMode="External"/><Relationship Id="rId74" Type="http://schemas.openxmlformats.org/officeDocument/2006/relationships/hyperlink" Target="https://www.impo.com.uy/bases/decretos/182-2013" TargetMode="External"/><Relationship Id="rId75" Type="http://schemas.openxmlformats.org/officeDocument/2006/relationships/hyperlink" Target="https://www.gub.uy/tramites/solicitud-habilitacion-transporte-residuos-solidos-industriales-asimilados" TargetMode="External"/><Relationship Id="rId76" Type="http://schemas.openxmlformats.org/officeDocument/2006/relationships/hyperlink" Target="https://www.impo.com.uy/bases/decretos/213-2025" TargetMode="External"/><Relationship Id="rId77" Type="http://schemas.openxmlformats.org/officeDocument/2006/relationships/hyperlink" Target="https://www.gub.uy/ministerio-ambiente/comunicacion/noticias/lavalleja-suma-nuevos-ecopuntos-para-recuperar-materiales-reciclables" TargetMode="External"/><Relationship Id="rId78" Type="http://schemas.openxmlformats.org/officeDocument/2006/relationships/hyperlink" Target="https://www.gub.uy/ministerio-industria-energia-mineria/comunicacion/noticias/premio-uruguay-circular-2025-entrego-sus-reconocimientos-iniciativas" TargetMode="External"/><Relationship Id="rId79" Type="http://schemas.openxmlformats.org/officeDocument/2006/relationships/hyperlink" Target="https://www.inase.uy/Institucional/Instituto.aspx" TargetMode="External"/><Relationship Id="rId80" Type="http://schemas.openxmlformats.org/officeDocument/2006/relationships/hyperlink" Target="https://herramientas.uruguayxxi.gub.uy/directorio_de_exportadores/?ad=2026&amp;ah=2026&amp;cat=&amp;md=1&amp;mh=6&amp;n=&amp;ncm=&amp;p=13&amp;pa=" TargetMode="External"/><Relationship Id="rId81" Type="http://schemas.openxmlformats.org/officeDocument/2006/relationships/hyperlink" Target="https://impo.com.uy/bases/decretos/162-2014" TargetMode="External"/><Relationship Id="rId82" Type="http://schemas.openxmlformats.org/officeDocument/2006/relationships/hyperlink" Target="https://www.impo.com.uy/bases/decretos/226-2025" TargetMode="External"/><Relationship Id="rId83" Type="http://schemas.openxmlformats.org/officeDocument/2006/relationships/hyperlink" Target="https://www.gub.uy/tramites/solicitud-habilitacion-sanitaria-registro-establecimientos-dedicados-engorde-bovinos-corral" TargetMode="External"/><Relationship Id="rId84" Type="http://schemas.openxmlformats.org/officeDocument/2006/relationships/hyperlink" Target="https://www.gub.uy/ministerio-ganaderia-agricultura-pesca/comunicacion/calendario-actividades/controlar-garrapata-evitando-residuos-carne-compromiso" TargetMode="External"/><Relationship Id="rId85" Type="http://schemas.openxmlformats.org/officeDocument/2006/relationships/hyperlink" Target="https://www.gub.uy/presidencia/comunicacion/noticias/gobierno-impulsa-lecheria-familiar-cuencas-menos-desarrolladas-uruguay" TargetMode="External"/><Relationship Id="rId86" Type="http://schemas.openxmlformats.org/officeDocument/2006/relationships/hyperlink" Target="https://www.gub.uy/tramites/habilitacion-establecimientos-avicolas" TargetMode="External"/><Relationship Id="rId87" Type="http://schemas.openxmlformats.org/officeDocument/2006/relationships/hyperlink" Target="https://www.gub.uy/tramites/inscripcion-prestador-turistico-alojamientos" TargetMode="External"/><Relationship Id="rId88" Type="http://schemas.openxmlformats.org/officeDocument/2006/relationships/hyperlink" Target="https://www.gub.uy/tramites/inscripcion-prestador-turistico-establecimientos-rurales-yo-bodegas" TargetMode="External"/><Relationship Id="rId89" Type="http://schemas.openxmlformats.org/officeDocument/2006/relationships/hyperlink" Target="https://www.gub.uy/tramites/inscripcion-prestador-turistico-turismo-aventura" TargetMode="External"/><Relationship Id="rId90" Type="http://schemas.openxmlformats.org/officeDocument/2006/relationships/hyperlink" Target="https://www.gub.uy/tramites/inscripcion-prestador-turistico-agencia-viajes-yo-transporte-turistico" TargetMode="External"/><Relationship Id="rId91" Type="http://schemas.openxmlformats.org/officeDocument/2006/relationships/hyperlink" Target="https://www.gub.uy/ministerio-turismo/comunicacion/noticias/llamado-consultoria-diseno-desarrollo-senderos-interpretativos-georrutas-del" TargetMode="External"/><Relationship Id="rId92" Type="http://schemas.openxmlformats.org/officeDocument/2006/relationships/hyperlink" Target="https://www.gub.uy/intendencia-lavalleja/comunicacion/noticias/lavalleja-inicia-proceso-transformacion-digital-del-turismo" TargetMode="External"/><Relationship Id="rId93" Type="http://schemas.openxmlformats.org/officeDocument/2006/relationships/hyperlink" Target="https://utec.edu.uy/es/educacion/posgrado/especializacion-en-turismo-sostenible/" TargetMode="External"/><Relationship Id="rId94" Type="http://schemas.openxmlformats.org/officeDocument/2006/relationships/hyperlink" Target="https://utec.edu.uy/es/educacion/carrera/tecnicatura-en-comunicacion-creativa-y-entretenimiento-digital/" TargetMode="External"/><Relationship Id="rId95" Type="http://schemas.openxmlformats.org/officeDocument/2006/relationships/hyperlink" Target="https://www.inefop.uy/post/lavalleja-se-inaugur%C3%B3-centro-de-atenci%C3%B3n-al-cliente-de-farmashop-con-40-j%C3%B3venes-capacitados-por-ine" TargetMode="External"/><Relationship Id="rId96" Type="http://schemas.openxmlformats.org/officeDocument/2006/relationships/hyperlink" Target="https://www.gub.uy/intendencia-lavalleja/comunicacion/noticias/semana-lavalleja-fiesta-nuestros-pueblos-llega-13-localidades-consolida" TargetMode="External"/><Relationship Id="rId97" Type="http://schemas.openxmlformats.org/officeDocument/2006/relationships/hyperlink" Target="https://www.gub.uy/intendencia-lavalleja/comunicacion/noticias/ambiente-avances-vertedero-formalizacion-clasificadores-plan-gestion-integral" TargetMode="External"/><Relationship Id="rId98" Type="http://schemas.openxmlformats.org/officeDocument/2006/relationships/hyperlink" Target="https://www.gub.uy/ministerio-vivienda-ordenamiento-territorial/comunicacion/noticias/mvot-lanza-laboratorio-urbano-para-reactivar-inmuebles-vacios-degradados" TargetMode="External"/><Relationship Id="rId99" Type="http://schemas.openxmlformats.org/officeDocument/2006/relationships/hyperlink" Target="https://www.gub.uy/intendencia-lavalleja/institucional/normativa/resolucion-n-4018024" TargetMode="External"/><Relationship Id="rId100" Type="http://schemas.openxmlformats.org/officeDocument/2006/relationships/hyperlink" Target="https://www.gub.uy/ministerio-vivienda-ordenamiento-territorial/comunicacion/noticias/mvot-firmo-convenios-18-intendencias-para-fortalecer-ordenamiento-territorial" TargetMode="External"/><Relationship Id="rId101" Type="http://schemas.openxmlformats.org/officeDocument/2006/relationships/hyperlink" Target="https://www.gub.uy/ministerio-transporte-obras-publicas/sites/ministerio-transporte-obras-publicas/files/documentos/publicaciones/Declaraci%C3%B3n%20de%20Red%202025.pdf" TargetMode="External"/><Relationship Id="rId102" Type="http://schemas.openxmlformats.org/officeDocument/2006/relationships/hyperlink" Target="https://www.gub.uy/ministerio-transporte-obras-publicas/comunicacion/comunicados/inauguracion-40-kilometros-ruta-15-rocha" TargetMode="External"/><Relationship Id="rId103" Type="http://schemas.openxmlformats.org/officeDocument/2006/relationships/hyperlink" Target="https://www.uruguayxxi.gub.uy/es/centro-informacion/articulo/informe-de-lavalleja-2026/?download=es" TargetMode="External"/><Relationship Id="rId104" Type="http://schemas.openxmlformats.org/officeDocument/2006/relationships/hyperlink" Target="https://www.gub.uy/tramites/habilitacion-establecimiento-larga-estadia-personas-mayores" TargetMode="External"/><Relationship Id="rId105" Type="http://schemas.openxmlformats.org/officeDocument/2006/relationships/hyperlink" Target="https://www.gub.uy/tramites/solicitud-habilitacion-modificacion-renovacion-habilitacion-servicios-salud" TargetMode="External"/><Relationship Id="rId106" Type="http://schemas.openxmlformats.org/officeDocument/2006/relationships/hyperlink" Target="https://www.gub.uy/tramites/habilitacion-empresas-realizan-servicios-tecnicos-equipos-medicos" TargetMode="External"/><Relationship Id="rId107" Type="http://schemas.openxmlformats.org/officeDocument/2006/relationships/hyperlink" Target="https://www.gub.uy/tramites/solicitud-derechos-uso-agua" TargetMode="External"/><Relationship Id="rId108" Type="http://schemas.openxmlformats.org/officeDocument/2006/relationships/hyperlink" Target="https://www.gub.uy/ministerio-ambiente/politicas-y-gestion/proceso-solicitud-derecho-uso-aguas-publicas" TargetMode="External"/><Relationship Id="rId109" Type="http://schemas.openxmlformats.org/officeDocument/2006/relationships/hyperlink" Target="https://www.gub.uy/ministerio-ambiente/politicas-y-gestion/reglamento-para-gestion-ambientalmente-adecuada-residuos-solidos-industriales" TargetMode="External"/><Relationship Id="rId110" Type="http://schemas.openxmlformats.org/officeDocument/2006/relationships/hyperlink" Target="https://www.gub.uy/tramites/plan-gestion-residuos-solidos-pgrs" TargetMode="External"/><Relationship Id="rId111" Type="http://schemas.openxmlformats.org/officeDocument/2006/relationships/hyperlink" Target="https://www.gub.uy/ministerio-industria-energia-mineria/parques-industriales-parques-cientifico-tecnologicos" TargetMode="External"/><Relationship Id="rId112" Type="http://schemas.openxmlformats.org/officeDocument/2006/relationships/hyperlink" Target="https://www.gub.uy/tramites/usuario-parque-industrial-parque-cientifico-tecnologico-empresas-localizadas-parques-habilitados-bajo-ley-ndeg-19784" TargetMode="External"/><Relationship Id="rId113" Type="http://schemas.openxmlformats.org/officeDocument/2006/relationships/hyperlink" Target="https://www.gub.uy/ministerio-industria-energia-mineria/politicas-y-gestion/directorio-empresas-industriales-dei-certificado-dei" TargetMode="External"/><Relationship Id="rId114" Type="http://schemas.openxmlformats.org/officeDocument/2006/relationships/hyperlink" Target="https://www.impo.com.uy/bases/decretos/150-2007/161_BIS" TargetMode="External"/><Relationship Id="rId115" Type="http://schemas.openxmlformats.org/officeDocument/2006/relationships/hyperlink" Target="https://www.impo.com.uy/bases/todgi2023/101-2024/66_T4" TargetMode="External"/><Relationship Id="rId116" Type="http://schemas.openxmlformats.org/officeDocument/2006/relationships/hyperlink" Target="https://www.gub.uy/unidad-reguladora-control-datos-personales/comunicacion/publicaciones/guia-proteccion-datos-personales-para-empresas-especial-micro-pequenas-0" TargetMode="External"/><Relationship Id="rId117" Type="http://schemas.openxmlformats.org/officeDocument/2006/relationships/hyperlink" Target="https://www.gub.uy/intendencia-lavalleja/comunicacion/noticias/thriller-caza-pesca-eligio-lavalleja-para-rodar-trabajo-local-paisaje-serrano" TargetMode="External"/><Relationship Id="rId118" Type="http://schemas.openxmlformats.org/officeDocument/2006/relationships/hyperlink" Target="https://www.acau.gub.uy/innovaportal/v/367/1/acau/presentacion-2025.html" TargetMode="External"/><Relationship Id="rId119" Type="http://schemas.openxmlformats.org/officeDocument/2006/relationships/hyperlink" Target="https://www.acau.gub.uy/fondos" TargetMode="External"/><Relationship Id="rId120" Type="http://schemas.openxmlformats.org/officeDocument/2006/relationships/hyperlink" Target="https://www.gub.uy/tramites/solicitud-operar-cannabis-no-psicoactivo" TargetMode="External"/><Relationship Id="rId121" Type="http://schemas.openxmlformats.org/officeDocument/2006/relationships/hyperlink" Target="https://www.gub.uy/ministerio-ganaderia-agricultura-pesca/tramites-y-servicios/servicios/licencia-autorizacion-operacion-canamo" TargetMode="External"/><Relationship Id="rId122" Type="http://schemas.openxmlformats.org/officeDocument/2006/relationships/hyperlink" Target="https://www.gub.uy/tramites/solicitud-licencias-cannabis-uso-medicinal-investigacion-cientifica" TargetMode="External"/><Relationship Id="rId123" Type="http://schemas.openxmlformats.org/officeDocument/2006/relationships/hyperlink" Target="https://www.gub.uy/tramites/presentacion-proyectos-desarrollo-acuicultura" TargetMode="External"/><Relationship Id="rId124" Type="http://schemas.openxmlformats.org/officeDocument/2006/relationships/hyperlink" Target="https://www.gub.uy/ministerio-ganaderia-agricultura-pesca/comunicacion/noticias/aplicaciones-aereas-productos-fitosanitarios-drones" TargetMode="External"/><Relationship Id="rId125" Type="http://schemas.openxmlformats.org/officeDocument/2006/relationships/hyperlink" Target="https://www.gub.uy/ministerio-ganaderia-agricultura-pesca/comunicacion/noticias/comunicado-productores-empresas-proveedoras-aplicacion-drones" TargetMode="External"/><Relationship Id="rId126" Type="http://schemas.openxmlformats.org/officeDocument/2006/relationships/hyperlink" Target="https://www.dinacia.gub.uy/servicio/registro-de-drones" TargetMode="External"/><Relationship Id="rId127" Type="http://schemas.openxmlformats.org/officeDocument/2006/relationships/hyperlink" Target="https://www.gub.uy/tramites/inscripcion-proveedor-estado-registro-unico-proveedores-estado-rupe" TargetMode="External"/><Relationship Id="rId128" Type="http://schemas.openxmlformats.org/officeDocument/2006/relationships/hyperlink" Target="https://www.impo.com.uy/bases/decretos/329-2025" TargetMode="External"/><Relationship Id="rId129" Type="http://schemas.openxmlformats.org/officeDocument/2006/relationships/hyperlink" Target="https://www.gub.uy/ministerio-economia-finanzas/politicas-y-gestion/regimen-decreto-329025" TargetMode="External"/><Relationship Id="rId130" Type="http://schemas.openxmlformats.org/officeDocument/2006/relationships/hyperlink" Target="https://www.gub.uy/ministerio-economia-finanzas/politicas-y-gestion/decreto-329025" TargetMode="External"/><Relationship Id="rId131" Type="http://schemas.openxmlformats.org/officeDocument/2006/relationships/hyperlink" Target="https://www.gub.uy/ministerio-ambiente/politicas-y-gestion/barrera-natu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Conocimiento sectorial para invertir en Lavalleja</dc:title>
  <dc:subject>Ampliación documental de Gianna Invest con fuentes oficiales</dc:subject>
  <dc:creator>Gianna Invest Lavalleja</dc:creator>
  <cp:keywords>Lavalleja, inversiones, RAG, energía, territorio, agroindustria, turismo</cp:keywords>
  <dc:description>generated by python-docx</dc:description>
  <cp:lastModifiedBy/>
  <cp:revision>1</cp:revision>
  <dcterms:created xsi:type="dcterms:W3CDTF">2026-10-19T00:00:00Z</dcterms:created>
  <dcterms:modified xsi:type="dcterms:W3CDTF">2026-10-19T00:00:00Z</dcterms:modified>
  <cp:category/>
</cp:coreProperties>
</file>