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Heading1"/>
        <w:jc w:val="center"/>
      </w:pPr>
      <w:r>
        <w:t>Exercise: Lists Advanced</w:t>
      </w:r>
    </w:p>
    <w:p w14:paraId="2BF82E88" w14:textId="55EB6C2E" w:rsidR="00E31AC6" w:rsidRPr="00E31AC6" w:rsidRDefault="00D02053" w:rsidP="00E31AC6">
      <w:pPr>
        <w:spacing w:before="0" w:after="0" w:line="240" w:lineRule="auto"/>
        <w:jc w:val="center"/>
        <w:rPr>
          <w:color w:val="FF0000"/>
          <w:lang w:val="bg-BG"/>
        </w:rPr>
      </w:pPr>
      <w:r w:rsidRPr="00E31AC6">
        <w:rPr>
          <w:lang w:val="bg-BG"/>
        </w:rPr>
        <w:t xml:space="preserve">Problems for exercise and homework for the </w:t>
      </w:r>
      <w:hyperlink r:id="rId8">
        <w:r w:rsidRPr="00E31AC6">
          <w:rPr>
            <w:rStyle w:val="InternetLink"/>
            <w:lang w:val="bg-BG"/>
          </w:rPr>
          <w:t>Python Fundamentals Course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r w:rsidRPr="00E31AC6">
        <w:rPr>
          <w:lang w:val="bg-BG"/>
        </w:rPr>
        <w:t xml:space="preserve">Submit your solutions in the SoftUni judge system at </w:t>
      </w:r>
      <w:hyperlink r:id="rId9">
        <w:r w:rsidR="00A4451C">
          <w:rPr>
            <w:rStyle w:val="InternetLink"/>
            <w:lang w:val="bg-BG"/>
          </w:rPr>
          <w:t>https://judge.softuni.org/Contests/1731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r w:rsidRPr="0067447E">
              <w:rPr>
                <w:rFonts w:ascii="Consolas" w:hAnsi="Consolas"/>
              </w:rPr>
              <w:t>arp,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lively, alive, harp, sharp, armstrong</w:t>
            </w:r>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['arp',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armstrong</w:t>
            </w:r>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 xml:space="preserve">{needed_chairs_in_room} more chairs </w:t>
      </w:r>
      <w:r w:rsidR="0067447E">
        <w:rPr>
          <w:rFonts w:ascii="Consolas" w:hAnsi="Consolas"/>
          <w:b/>
        </w:rPr>
        <w:t>needed in room {number_of_room}</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{tota</w:t>
      </w:r>
      <w:r w:rsidR="0067447E">
        <w:rPr>
          <w:rFonts w:ascii="Consolas" w:hAnsi="Consolas"/>
          <w:b/>
        </w:rPr>
        <w:t>l_free_chairs}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{list_of_numbers}</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{startIndex} {endIndex}</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r w:rsidRPr="006C3259">
        <w:rPr>
          <w:rStyle w:val="CodeChar"/>
          <w:rFonts w:cstheme="minorHAnsi"/>
        </w:rPr>
        <w:t>startIndex</w:t>
      </w:r>
      <w:r w:rsidRPr="00AA5CBB">
        <w:rPr>
          <w:rFonts w:cstheme="minorHAnsi"/>
          <w:noProof/>
        </w:rPr>
        <w:t xml:space="preserve"> to the </w:t>
      </w:r>
      <w:r w:rsidRPr="006C3259">
        <w:rPr>
          <w:rStyle w:val="CodeChar"/>
          <w:rFonts w:cstheme="minorHAnsi"/>
        </w:rPr>
        <w:t>endIndex</w:t>
      </w:r>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{abc, def, ghi}</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{abcdef, ghi}</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startIndex</w:t>
      </w:r>
      <w:r w:rsidRPr="00E10DD8">
        <w:rPr>
          <w:rFonts w:cstheme="minorHAnsi"/>
          <w:noProof/>
          <w:sz w:val="20"/>
        </w:rPr>
        <w:t xml:space="preserve"> </w:t>
      </w:r>
      <w:r w:rsidRPr="00E10DD8">
        <w:rPr>
          <w:rFonts w:cstheme="minorHAnsi"/>
          <w:noProof/>
        </w:rPr>
        <w:t xml:space="preserve">and 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405E76">
        <w:rPr>
          <w:rStyle w:val="CodeChar"/>
          <w:rFonts w:cstheme="minorHAnsi"/>
        </w:rPr>
        <w:t>startIndex</w:t>
      </w:r>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Add:{lessonTitle}</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Insert:{lessonTitle}:{index}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Remove:{lessonTitle}</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Swap:{lessonTitle}:{lessonTitle}</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Exercise:{lessonTitle}</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{lessonTitle}-Exercise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index}.{lessonTitle}"</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BC3C7" w14:textId="77777777" w:rsidR="00880713" w:rsidRDefault="00880713">
      <w:pPr>
        <w:spacing w:before="0" w:after="0" w:line="240" w:lineRule="auto"/>
      </w:pPr>
      <w:r>
        <w:separator/>
      </w:r>
    </w:p>
  </w:endnote>
  <w:endnote w:type="continuationSeparator" w:id="0">
    <w:p w14:paraId="62CAFC6C" w14:textId="77777777" w:rsidR="00880713" w:rsidRDefault="008807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SoftUni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C50B" w14:textId="77777777" w:rsidR="00880713" w:rsidRDefault="00880713">
      <w:pPr>
        <w:spacing w:before="0" w:after="0" w:line="240" w:lineRule="auto"/>
      </w:pPr>
      <w:r>
        <w:separator/>
      </w:r>
    </w:p>
  </w:footnote>
  <w:footnote w:type="continuationSeparator" w:id="0">
    <w:p w14:paraId="03CFEF7B" w14:textId="77777777" w:rsidR="00880713" w:rsidRDefault="008807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0531"/>
    <w:rsid w:val="001223BC"/>
    <w:rsid w:val="001B430C"/>
    <w:rsid w:val="001C4FB3"/>
    <w:rsid w:val="00201224"/>
    <w:rsid w:val="002A627D"/>
    <w:rsid w:val="002C3BE7"/>
    <w:rsid w:val="002D587F"/>
    <w:rsid w:val="002D73E6"/>
    <w:rsid w:val="0036290C"/>
    <w:rsid w:val="00375BC1"/>
    <w:rsid w:val="00381934"/>
    <w:rsid w:val="003B5AE8"/>
    <w:rsid w:val="003F2771"/>
    <w:rsid w:val="00400F05"/>
    <w:rsid w:val="00415BEF"/>
    <w:rsid w:val="0044317A"/>
    <w:rsid w:val="004A7361"/>
    <w:rsid w:val="004F3EFE"/>
    <w:rsid w:val="00560EC7"/>
    <w:rsid w:val="006012A4"/>
    <w:rsid w:val="0067447E"/>
    <w:rsid w:val="0069365D"/>
    <w:rsid w:val="00693F1F"/>
    <w:rsid w:val="006A2A2D"/>
    <w:rsid w:val="007453A7"/>
    <w:rsid w:val="007818AC"/>
    <w:rsid w:val="0078728B"/>
    <w:rsid w:val="008037E5"/>
    <w:rsid w:val="00826B97"/>
    <w:rsid w:val="00880713"/>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D02053"/>
    <w:rsid w:val="00D6737A"/>
    <w:rsid w:val="00D67D2D"/>
    <w:rsid w:val="00E31AC6"/>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2314</Words>
  <Characters>10693</Characters>
  <Application>Microsoft Office Word</Application>
  <DocSecurity>0</DocSecurity>
  <Lines>324</Lines>
  <Paragraphs>325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35</cp:revision>
  <cp:lastPrinted>2015-10-26T22:35:00Z</cp:lastPrinted>
  <dcterms:created xsi:type="dcterms:W3CDTF">2019-11-12T12:29:00Z</dcterms:created>
  <dcterms:modified xsi:type="dcterms:W3CDTF">2022-12-07T14:10:00Z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