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Теорема Пифагора: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— для прямоугольного треугольника.</w:t>
      </w:r>
    </w:p>
    <w:p>
      <w:r>
        <w:t>Корни квадратного уравнения:</w:t>
      </w:r>
    </w:p>
    <w:p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>
      <w:r>
        <w:t>Сумма и интеграл:</w:t>
      </w:r>
    </w:p>
    <w:p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>
      <w:r>
        <w:t>Предел, функция и матрица:</w:t>
      </w:r>
    </w:p>
    <w:p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func>
          <m:r>
            <w:rPr>
              <w:rFonts w:ascii="Cambria Math" w:hAnsi="Cambria Math"/>
            </w:rPr>
            <m:t>=1</m:t>
          </m:r>
        </m:oMath>
      </m:oMathPara>
    </w:p>
    <w:p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Формулы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