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section: one column across the whole page.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1. Text in two columns flows down the first column and then continues at the top of the second one.</w:t>
      </w:r>
    </w:p>
    <w:p>
      <w:r>
        <w:t>2. Text in two columns flows down the first column and then continues at the top of the second one.</w:t>
      </w:r>
    </w:p>
    <w:p>
      <w:r>
        <w:t>3. Text in two columns flows down the first column and then continues at the top of the second one.</w:t>
      </w:r>
    </w:p>
    <w:p>
      <w:r>
        <w:t>4. Text in two columns flows down the first column and then continues at the top of the second one.</w:t>
      </w:r>
    </w:p>
    <w:p>
      <w:r>
        <w:t>5. Text in two columns flows down the first column and then continues at the top of the second one.</w:t>
      </w:r>
    </w:p>
    <w:p>
      <w:r>
        <w:t>6. Text in two columns flows down the first column and then continues at the top of the second one.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num="2" w:space="708" w:sep="1"/>
          <w:docGrid w:linePitch="360"/>
        </w:sectPr>
      </w:pPr>
    </w:p>
    <w:p>
      <w:r>
        <w:t>Back to one column below the balanced columns.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num="1" w:space="708"/>
          <w:docGrid w:linePitch="360"/>
        </w:sectPr>
      </w:pPr>
    </w:p>
    <w:p>
      <w:r>
        <w:t>A landscape page.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num="1" w:space="708"/>
          <w:docGrid w:linePitch="360"/>
        </w:sectPr>
      </w:pPr>
    </w:p>
    <w:p>
      <w:r>
        <w:t>This section starts on an odd page.</w:t>
      </w:r>
    </w:p>
    <w:sectPr w:rsidR="00FC693F" w:rsidRPr="0006063C" w:rsidSect="00034616">
      <w:type w:val="oddPage"/>
      <w:pgSz w:w="12240" w:h="15840"/>
      <w:pgMar w:top="1440" w:right="1800" w:bottom="1440" w:left="1800" w:header="720" w:footer="720" w:gutter="0"/>
      <w:cols w:num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Разделы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