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406E2" w14:textId="52CF8C25" w:rsidR="00DC622F" w:rsidRDefault="001C2141">
      <w:pPr>
        <w:rPr>
          <w:b/>
          <w:bCs/>
          <w:sz w:val="96"/>
          <w:szCs w:val="96"/>
          <w:u w:val="single"/>
        </w:rPr>
      </w:pPr>
      <w:r w:rsidRPr="001C2141">
        <w:rPr>
          <w:b/>
          <w:bCs/>
          <w:sz w:val="96"/>
          <w:szCs w:val="96"/>
          <w:u w:val="single"/>
        </w:rPr>
        <w:t>Annual Bonus Analysis</w:t>
      </w:r>
    </w:p>
    <w:p w14:paraId="7F403DAE" w14:textId="1EDBB33D" w:rsidR="001C2141" w:rsidRDefault="001C2141">
      <w:pPr>
        <w:rPr>
          <w:b/>
          <w:bCs/>
          <w:sz w:val="96"/>
          <w:szCs w:val="96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1D682BB9" wp14:editId="2A1C6858">
            <wp:extent cx="5943600" cy="3249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D77F8A2" w14:textId="122BB78F" w:rsidR="001C2141" w:rsidRPr="001C2141" w:rsidRDefault="001C2141">
      <w:pPr>
        <w:rPr>
          <w:b/>
          <w:bCs/>
          <w:sz w:val="96"/>
          <w:szCs w:val="96"/>
          <w:u w:val="single"/>
        </w:rPr>
      </w:pPr>
      <w:r>
        <w:rPr>
          <w:noProof/>
        </w:rPr>
        <w:lastRenderedPageBreak/>
        <w:drawing>
          <wp:inline distT="0" distB="0" distL="0" distR="0" wp14:anchorId="322DB381" wp14:editId="6723FC56">
            <wp:extent cx="5943600" cy="4525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141" w:rsidRPr="001C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925"/>
    <w:rsid w:val="001C2141"/>
    <w:rsid w:val="001D5EF2"/>
    <w:rsid w:val="00880925"/>
    <w:rsid w:val="00BC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3572"/>
  <w15:chartTrackingRefBased/>
  <w15:docId w15:val="{1C924EAB-2E0D-4187-A0F2-946BF90A3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Ceylan</dc:creator>
  <cp:keywords/>
  <dc:description/>
  <cp:lastModifiedBy>Necmettin Ceylan</cp:lastModifiedBy>
  <cp:revision>2</cp:revision>
  <dcterms:created xsi:type="dcterms:W3CDTF">2019-10-17T12:11:00Z</dcterms:created>
  <dcterms:modified xsi:type="dcterms:W3CDTF">2019-10-17T12:13:00Z</dcterms:modified>
</cp:coreProperties>
</file>