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9247F" w14:textId="77777777" w:rsidR="009062DA" w:rsidRPr="009062DA" w:rsidRDefault="009062DA" w:rsidP="009062DA">
      <w:pPr>
        <w:rPr>
          <w:b/>
          <w:bCs/>
        </w:rPr>
      </w:pPr>
      <w:r w:rsidRPr="009062DA">
        <w:rPr>
          <w:b/>
          <w:bCs/>
        </w:rPr>
        <w:t>Investment Memorandum: Confidential</w:t>
      </w:r>
    </w:p>
    <w:p w14:paraId="56E88900" w14:textId="77777777" w:rsidR="009062DA" w:rsidRDefault="009062DA" w:rsidP="009062DA">
      <w:r w:rsidRPr="009062DA">
        <w:rPr>
          <w:b/>
          <w:bCs/>
        </w:rPr>
        <w:t>Project Helios: Proposal for a 10 MW Solar Farm in Rajasthan</w:t>
      </w:r>
      <w:r w:rsidRPr="009062DA">
        <w:t xml:space="preserve"> </w:t>
      </w:r>
      <w:r w:rsidRPr="009062DA">
        <w:rPr>
          <w:b/>
          <w:bCs/>
        </w:rPr>
        <w:t>July 20, 2025</w:t>
      </w:r>
      <w:r w:rsidRPr="009062DA">
        <w:t xml:space="preserve"> </w:t>
      </w:r>
    </w:p>
    <w:p w14:paraId="17C9EE1C" w14:textId="6A221E91" w:rsidR="009062DA" w:rsidRPr="009062DA" w:rsidRDefault="009062DA" w:rsidP="009062DA">
      <w:r w:rsidRPr="009062DA">
        <w:rPr>
          <w:b/>
          <w:bCs/>
        </w:rPr>
        <w:t>Modeled by:</w:t>
      </w:r>
      <w:r>
        <w:rPr>
          <w:b/>
          <w:bCs/>
        </w:rPr>
        <w:t xml:space="preserve"> Priyam Kashyap Baishya</w:t>
      </w:r>
      <w:r w:rsidRPr="009062DA">
        <w:t xml:space="preserve"> </w:t>
      </w:r>
    </w:p>
    <w:p w14:paraId="38C07712" w14:textId="77777777" w:rsidR="009062DA" w:rsidRPr="009062DA" w:rsidRDefault="009062DA" w:rsidP="009062DA">
      <w:r w:rsidRPr="009062DA">
        <w:pict w14:anchorId="7169ACFA">
          <v:rect id="_x0000_i1080" style="width:0;height:1.5pt" o:hralign="center" o:hrstd="t" o:hr="t" fillcolor="#a0a0a0" stroked="f"/>
        </w:pict>
      </w:r>
    </w:p>
    <w:p w14:paraId="4AA4D1A5" w14:textId="47B25DEC" w:rsidR="009062DA" w:rsidRPr="009062DA" w:rsidRDefault="009062DA" w:rsidP="009062DA">
      <w:pPr>
        <w:rPr>
          <w:b/>
          <w:bCs/>
        </w:rPr>
      </w:pPr>
      <w:r w:rsidRPr="009062DA">
        <w:rPr>
          <w:b/>
          <w:bCs/>
        </w:rPr>
        <w:t>1. Executive Summary</w:t>
      </w:r>
    </w:p>
    <w:p w14:paraId="300B7432" w14:textId="77777777" w:rsidR="009062DA" w:rsidRPr="009062DA" w:rsidRDefault="009062DA" w:rsidP="009062DA">
      <w:r w:rsidRPr="009062DA">
        <w:t xml:space="preserve">This document outlines an investment opportunity to provide </w:t>
      </w:r>
      <w:r w:rsidRPr="009062DA">
        <w:rPr>
          <w:b/>
          <w:bCs/>
        </w:rPr>
        <w:t>₹12 Crore in equity capital</w:t>
      </w:r>
      <w:r w:rsidRPr="009062DA">
        <w:t xml:space="preserve"> for the development and construction of "Project Helios," a </w:t>
      </w:r>
      <w:r w:rsidRPr="009062DA">
        <w:rPr>
          <w:b/>
          <w:bCs/>
        </w:rPr>
        <w:t>10 MW ground-mounted solar farm</w:t>
      </w:r>
      <w:r w:rsidRPr="009062DA">
        <w:t xml:space="preserve"> in Rajasthan, India. The project's revenue is secured by a 25-year Power Purchase Agreement (PPA) with the Solar Energy Corporation of India (SECI) at a fixed tariff of </w:t>
      </w:r>
      <w:r w:rsidRPr="009062DA">
        <w:rPr>
          <w:b/>
          <w:bCs/>
        </w:rPr>
        <w:t>₹2.75/kWh</w:t>
      </w:r>
      <w:r w:rsidRPr="009062DA">
        <w:t xml:space="preserve">. The project is strategically positioned to leverage India's strong renewable energy policies and falling technology costs. Based on detailed financial modeling, Project Helios is projected to generate a highly attractive, risk-adjusted </w:t>
      </w:r>
      <w:r w:rsidRPr="009062DA">
        <w:rPr>
          <w:b/>
          <w:bCs/>
        </w:rPr>
        <w:t>Equity IRR of 37.75%</w:t>
      </w:r>
      <w:r w:rsidRPr="009062DA">
        <w:t xml:space="preserve"> and a </w:t>
      </w:r>
      <w:r w:rsidRPr="009062DA">
        <w:rPr>
          <w:b/>
          <w:bCs/>
        </w:rPr>
        <w:t>Net Present Value (NPV) of ₹34.8 Crore</w:t>
      </w:r>
      <w:r w:rsidRPr="009062DA">
        <w:t>.</w:t>
      </w:r>
    </w:p>
    <w:p w14:paraId="4275600E" w14:textId="77777777" w:rsidR="009062DA" w:rsidRPr="009062DA" w:rsidRDefault="009062DA" w:rsidP="009062DA">
      <w:r w:rsidRPr="009062DA">
        <w:pict w14:anchorId="7E1DE801">
          <v:rect id="_x0000_i1081" style="width:0;height:1.5pt" o:hralign="center" o:hrstd="t" o:hr="t" fillcolor="#a0a0a0" stroked="f"/>
        </w:pict>
      </w:r>
    </w:p>
    <w:p w14:paraId="2BF2D446" w14:textId="0B24178D" w:rsidR="009062DA" w:rsidRPr="009062DA" w:rsidRDefault="009062DA" w:rsidP="009062DA">
      <w:pPr>
        <w:rPr>
          <w:b/>
          <w:bCs/>
        </w:rPr>
      </w:pPr>
      <w:r w:rsidRPr="009062DA">
        <w:rPr>
          <w:b/>
          <w:bCs/>
        </w:rPr>
        <w:t>2. Project Overview</w:t>
      </w:r>
    </w:p>
    <w:p w14:paraId="1DC65D72" w14:textId="77777777" w:rsidR="009062DA" w:rsidRPr="009062DA" w:rsidRDefault="009062DA" w:rsidP="009062DA">
      <w:pPr>
        <w:numPr>
          <w:ilvl w:val="0"/>
          <w:numId w:val="3"/>
        </w:numPr>
      </w:pPr>
      <w:r w:rsidRPr="009062DA">
        <w:rPr>
          <w:b/>
          <w:bCs/>
        </w:rPr>
        <w:t>Project Description:</w:t>
      </w:r>
      <w:r w:rsidRPr="009062DA">
        <w:t xml:space="preserve"> A 10 MW ground-mounted solar photovoltaic (PV) power plant.</w:t>
      </w:r>
    </w:p>
    <w:p w14:paraId="5DFB93FC" w14:textId="77777777" w:rsidR="009062DA" w:rsidRPr="009062DA" w:rsidRDefault="009062DA" w:rsidP="009062DA">
      <w:pPr>
        <w:numPr>
          <w:ilvl w:val="0"/>
          <w:numId w:val="3"/>
        </w:numPr>
      </w:pPr>
      <w:r w:rsidRPr="009062DA">
        <w:rPr>
          <w:b/>
          <w:bCs/>
        </w:rPr>
        <w:t>Location:</w:t>
      </w:r>
      <w:r w:rsidRPr="009062DA">
        <w:t xml:space="preserve"> Rajasthan, India, a region with one of the highest levels of solar irradiance in the country, ensuring high plant productivity.</w:t>
      </w:r>
    </w:p>
    <w:p w14:paraId="176925E2" w14:textId="77777777" w:rsidR="009062DA" w:rsidRPr="009062DA" w:rsidRDefault="009062DA" w:rsidP="009062DA">
      <w:pPr>
        <w:numPr>
          <w:ilvl w:val="0"/>
          <w:numId w:val="3"/>
        </w:numPr>
      </w:pPr>
      <w:r w:rsidRPr="009062DA">
        <w:rPr>
          <w:b/>
          <w:bCs/>
        </w:rPr>
        <w:t>Key Agreement:</w:t>
      </w:r>
      <w:r w:rsidRPr="009062DA">
        <w:t xml:space="preserve"> A 25-year PPA with SECI guarantees the offtake of 100% of the power generated at a fixed price, ensuring stable and predictable revenue streams.</w:t>
      </w:r>
    </w:p>
    <w:p w14:paraId="37DF01D4" w14:textId="77777777" w:rsidR="009062DA" w:rsidRPr="009062DA" w:rsidRDefault="009062DA" w:rsidP="009062DA">
      <w:r w:rsidRPr="009062DA">
        <w:pict w14:anchorId="5C5A71DC">
          <v:rect id="_x0000_i1082" style="width:0;height:1.5pt" o:hralign="center" o:hrstd="t" o:hr="t" fillcolor="#a0a0a0" stroked="f"/>
        </w:pict>
      </w:r>
    </w:p>
    <w:p w14:paraId="0155FABC" w14:textId="04AC2FF1" w:rsidR="009062DA" w:rsidRPr="009062DA" w:rsidRDefault="009062DA" w:rsidP="009062DA">
      <w:pPr>
        <w:rPr>
          <w:b/>
          <w:bCs/>
        </w:rPr>
      </w:pPr>
      <w:r w:rsidRPr="009062DA">
        <w:rPr>
          <w:b/>
          <w:bCs/>
        </w:rPr>
        <w:t>3. Market Context &amp; Opportunity</w:t>
      </w:r>
    </w:p>
    <w:p w14:paraId="5A80B42B" w14:textId="77777777" w:rsidR="009062DA" w:rsidRPr="009062DA" w:rsidRDefault="009062DA" w:rsidP="009062DA">
      <w:pPr>
        <w:numPr>
          <w:ilvl w:val="0"/>
          <w:numId w:val="4"/>
        </w:numPr>
      </w:pPr>
      <w:r w:rsidRPr="009062DA">
        <w:rPr>
          <w:b/>
          <w:bCs/>
        </w:rPr>
        <w:t>Strong Policy Support:</w:t>
      </w:r>
      <w:r w:rsidRPr="009062DA">
        <w:t xml:space="preserve"> The project operates within a highly favorable policy environment. India has set a national target of achieving </w:t>
      </w:r>
      <w:r w:rsidRPr="009062DA">
        <w:rPr>
          <w:b/>
          <w:bCs/>
        </w:rPr>
        <w:t>500 GW of renewable energy capacity by 2030</w:t>
      </w:r>
      <w:r w:rsidRPr="009062DA">
        <w:t>, with solar power being a key pillar of this strategy. Government bodies like SECI ensure offtake security through long-term PPAs, significantly de-risking investments in the sector.</w:t>
      </w:r>
    </w:p>
    <w:p w14:paraId="168CC678" w14:textId="77777777" w:rsidR="009062DA" w:rsidRPr="009062DA" w:rsidRDefault="009062DA" w:rsidP="009062DA">
      <w:pPr>
        <w:numPr>
          <w:ilvl w:val="0"/>
          <w:numId w:val="4"/>
        </w:numPr>
      </w:pPr>
      <w:r w:rsidRPr="009062DA">
        <w:rPr>
          <w:b/>
          <w:bCs/>
        </w:rPr>
        <w:t>Favorable Cost Trends:</w:t>
      </w:r>
      <w:r w:rsidRPr="009062DA">
        <w:t xml:space="preserve"> The investment is timed to capitalize on declining technology costs. According to recent industry analysis from sources like BloombergNEF and the International Energy Agency (IEA), the levelized cost of energy (LCOE) from solar in India is among the lowest in the world, driven by falling module prices and efficient construction practices.</w:t>
      </w:r>
    </w:p>
    <w:p w14:paraId="245C30E6" w14:textId="77777777" w:rsidR="0070056C" w:rsidRDefault="009062DA" w:rsidP="009062DA">
      <w:r w:rsidRPr="009062DA">
        <w:pict w14:anchorId="14CEFCBC">
          <v:rect id="_x0000_i1083" style="width:0;height:1.5pt" o:hralign="center" o:hrstd="t" o:hr="t" fillcolor="#a0a0a0" stroked="f"/>
        </w:pict>
      </w:r>
    </w:p>
    <w:p w14:paraId="5F07372B" w14:textId="7F52BE51" w:rsidR="009062DA" w:rsidRPr="009062DA" w:rsidRDefault="009062DA" w:rsidP="009062DA">
      <w:r w:rsidRPr="009062DA">
        <w:rPr>
          <w:b/>
          <w:bCs/>
        </w:rPr>
        <w:lastRenderedPageBreak/>
        <w:t>4. Financial Summary</w:t>
      </w:r>
    </w:p>
    <w:p w14:paraId="32DC506D" w14:textId="77777777" w:rsidR="009062DA" w:rsidRPr="009062DA" w:rsidRDefault="009062DA" w:rsidP="009062DA">
      <w:r w:rsidRPr="009062DA">
        <w:rPr>
          <w:b/>
          <w:bCs/>
        </w:rPr>
        <w:t>4.1. Sources and Uses of Funds</w:t>
      </w:r>
      <w:r w:rsidRPr="009062DA">
        <w:t xml:space="preserve"> The total required capital for the project is ₹40 Crore, structured with a 70:30 debt-to-equity ratio.</w:t>
      </w:r>
    </w:p>
    <w:tbl>
      <w:tblPr>
        <w:tblStyle w:val="TableGrid"/>
        <w:tblW w:w="0" w:type="auto"/>
        <w:tblLook w:val="04A0" w:firstRow="1" w:lastRow="0" w:firstColumn="1" w:lastColumn="0" w:noHBand="0" w:noVBand="1"/>
      </w:tblPr>
      <w:tblGrid>
        <w:gridCol w:w="1892"/>
        <w:gridCol w:w="1617"/>
        <w:gridCol w:w="1910"/>
        <w:gridCol w:w="1617"/>
      </w:tblGrid>
      <w:tr w:rsidR="009062DA" w:rsidRPr="009062DA" w14:paraId="2E5C9ACE" w14:textId="77777777" w:rsidTr="001D6CCD">
        <w:tc>
          <w:tcPr>
            <w:tcW w:w="0" w:type="auto"/>
            <w:hideMark/>
          </w:tcPr>
          <w:p w14:paraId="49063D57" w14:textId="77777777" w:rsidR="009062DA" w:rsidRPr="009062DA" w:rsidRDefault="009062DA" w:rsidP="009062DA">
            <w:pPr>
              <w:spacing w:after="160" w:line="278" w:lineRule="auto"/>
            </w:pPr>
            <w:r w:rsidRPr="009062DA">
              <w:rPr>
                <w:b/>
                <w:bCs/>
              </w:rPr>
              <w:t>Sources of Funds</w:t>
            </w:r>
          </w:p>
        </w:tc>
        <w:tc>
          <w:tcPr>
            <w:tcW w:w="0" w:type="auto"/>
            <w:hideMark/>
          </w:tcPr>
          <w:p w14:paraId="0F6C00FC" w14:textId="77777777" w:rsidR="009062DA" w:rsidRPr="009062DA" w:rsidRDefault="009062DA" w:rsidP="009062DA">
            <w:pPr>
              <w:spacing w:after="160" w:line="278" w:lineRule="auto"/>
            </w:pPr>
            <w:r w:rsidRPr="009062DA">
              <w:rPr>
                <w:b/>
                <w:bCs/>
              </w:rPr>
              <w:t>Amount (₹ Cr)</w:t>
            </w:r>
          </w:p>
        </w:tc>
        <w:tc>
          <w:tcPr>
            <w:tcW w:w="0" w:type="auto"/>
            <w:hideMark/>
          </w:tcPr>
          <w:p w14:paraId="3D6E76E0" w14:textId="77777777" w:rsidR="009062DA" w:rsidRPr="009062DA" w:rsidRDefault="009062DA" w:rsidP="009062DA">
            <w:pPr>
              <w:spacing w:after="160" w:line="278" w:lineRule="auto"/>
            </w:pPr>
            <w:r w:rsidRPr="009062DA">
              <w:rPr>
                <w:b/>
                <w:bCs/>
              </w:rPr>
              <w:t>Uses of Funds</w:t>
            </w:r>
          </w:p>
        </w:tc>
        <w:tc>
          <w:tcPr>
            <w:tcW w:w="0" w:type="auto"/>
            <w:hideMark/>
          </w:tcPr>
          <w:p w14:paraId="51D3331C" w14:textId="77777777" w:rsidR="009062DA" w:rsidRPr="009062DA" w:rsidRDefault="009062DA" w:rsidP="009062DA">
            <w:pPr>
              <w:spacing w:after="160" w:line="278" w:lineRule="auto"/>
            </w:pPr>
            <w:r w:rsidRPr="009062DA">
              <w:rPr>
                <w:b/>
                <w:bCs/>
              </w:rPr>
              <w:t>Amount (₹ Cr)</w:t>
            </w:r>
          </w:p>
        </w:tc>
      </w:tr>
      <w:tr w:rsidR="009062DA" w:rsidRPr="009062DA" w14:paraId="5D9B710D" w14:textId="77777777" w:rsidTr="001D6CCD">
        <w:tc>
          <w:tcPr>
            <w:tcW w:w="0" w:type="auto"/>
            <w:hideMark/>
          </w:tcPr>
          <w:p w14:paraId="31AB9E50" w14:textId="77777777" w:rsidR="009062DA" w:rsidRPr="009062DA" w:rsidRDefault="009062DA" w:rsidP="009062DA">
            <w:pPr>
              <w:spacing w:after="160" w:line="278" w:lineRule="auto"/>
            </w:pPr>
            <w:r w:rsidRPr="009062DA">
              <w:t>Equity Capital</w:t>
            </w:r>
          </w:p>
        </w:tc>
        <w:tc>
          <w:tcPr>
            <w:tcW w:w="0" w:type="auto"/>
            <w:hideMark/>
          </w:tcPr>
          <w:p w14:paraId="1FE535DC" w14:textId="77777777" w:rsidR="009062DA" w:rsidRPr="009062DA" w:rsidRDefault="009062DA" w:rsidP="009062DA">
            <w:pPr>
              <w:spacing w:after="160" w:line="278" w:lineRule="auto"/>
            </w:pPr>
            <w:r w:rsidRPr="009062DA">
              <w:t>12.0</w:t>
            </w:r>
          </w:p>
        </w:tc>
        <w:tc>
          <w:tcPr>
            <w:tcW w:w="0" w:type="auto"/>
            <w:hideMark/>
          </w:tcPr>
          <w:p w14:paraId="375007BF" w14:textId="77777777" w:rsidR="009062DA" w:rsidRPr="009062DA" w:rsidRDefault="009062DA" w:rsidP="009062DA">
            <w:pPr>
              <w:spacing w:after="160" w:line="278" w:lineRule="auto"/>
            </w:pPr>
            <w:r w:rsidRPr="009062DA">
              <w:t>Total Project Cost</w:t>
            </w:r>
          </w:p>
        </w:tc>
        <w:tc>
          <w:tcPr>
            <w:tcW w:w="0" w:type="auto"/>
            <w:hideMark/>
          </w:tcPr>
          <w:p w14:paraId="14460787" w14:textId="77777777" w:rsidR="009062DA" w:rsidRPr="009062DA" w:rsidRDefault="009062DA" w:rsidP="009062DA">
            <w:pPr>
              <w:spacing w:after="160" w:line="278" w:lineRule="auto"/>
            </w:pPr>
            <w:r w:rsidRPr="009062DA">
              <w:t>40.0</w:t>
            </w:r>
          </w:p>
        </w:tc>
      </w:tr>
      <w:tr w:rsidR="009062DA" w:rsidRPr="009062DA" w14:paraId="1BCB98B5" w14:textId="77777777" w:rsidTr="001D6CCD">
        <w:tc>
          <w:tcPr>
            <w:tcW w:w="0" w:type="auto"/>
            <w:hideMark/>
          </w:tcPr>
          <w:p w14:paraId="2F4CE39A" w14:textId="77777777" w:rsidR="009062DA" w:rsidRPr="009062DA" w:rsidRDefault="009062DA" w:rsidP="009062DA">
            <w:pPr>
              <w:spacing w:after="160" w:line="278" w:lineRule="auto"/>
            </w:pPr>
            <w:r w:rsidRPr="009062DA">
              <w:t>Debt Financing</w:t>
            </w:r>
          </w:p>
        </w:tc>
        <w:tc>
          <w:tcPr>
            <w:tcW w:w="0" w:type="auto"/>
            <w:hideMark/>
          </w:tcPr>
          <w:p w14:paraId="33C469A8" w14:textId="77777777" w:rsidR="009062DA" w:rsidRPr="009062DA" w:rsidRDefault="009062DA" w:rsidP="009062DA">
            <w:pPr>
              <w:spacing w:after="160" w:line="278" w:lineRule="auto"/>
            </w:pPr>
            <w:r w:rsidRPr="009062DA">
              <w:t>28.0</w:t>
            </w:r>
          </w:p>
        </w:tc>
        <w:tc>
          <w:tcPr>
            <w:tcW w:w="0" w:type="auto"/>
            <w:hideMark/>
          </w:tcPr>
          <w:p w14:paraId="11161C4A" w14:textId="77777777" w:rsidR="009062DA" w:rsidRPr="009062DA" w:rsidRDefault="009062DA" w:rsidP="009062DA">
            <w:pPr>
              <w:spacing w:after="160" w:line="278" w:lineRule="auto"/>
            </w:pPr>
          </w:p>
        </w:tc>
        <w:tc>
          <w:tcPr>
            <w:tcW w:w="0" w:type="auto"/>
            <w:hideMark/>
          </w:tcPr>
          <w:p w14:paraId="1847F696" w14:textId="77777777" w:rsidR="009062DA" w:rsidRPr="009062DA" w:rsidRDefault="009062DA" w:rsidP="009062DA">
            <w:pPr>
              <w:spacing w:after="160" w:line="278" w:lineRule="auto"/>
            </w:pPr>
          </w:p>
        </w:tc>
      </w:tr>
      <w:tr w:rsidR="009062DA" w:rsidRPr="009062DA" w14:paraId="30586175" w14:textId="77777777" w:rsidTr="001D6CCD">
        <w:tc>
          <w:tcPr>
            <w:tcW w:w="0" w:type="auto"/>
            <w:hideMark/>
          </w:tcPr>
          <w:p w14:paraId="6CAE24C7" w14:textId="77777777" w:rsidR="009062DA" w:rsidRPr="009062DA" w:rsidRDefault="009062DA" w:rsidP="009062DA">
            <w:pPr>
              <w:spacing w:after="160" w:line="278" w:lineRule="auto"/>
            </w:pPr>
            <w:r w:rsidRPr="009062DA">
              <w:rPr>
                <w:b/>
                <w:bCs/>
              </w:rPr>
              <w:t>Total Sources</w:t>
            </w:r>
          </w:p>
        </w:tc>
        <w:tc>
          <w:tcPr>
            <w:tcW w:w="0" w:type="auto"/>
            <w:hideMark/>
          </w:tcPr>
          <w:p w14:paraId="6FC5DC01" w14:textId="77777777" w:rsidR="009062DA" w:rsidRPr="009062DA" w:rsidRDefault="009062DA" w:rsidP="009062DA">
            <w:pPr>
              <w:spacing w:after="160" w:line="278" w:lineRule="auto"/>
            </w:pPr>
            <w:r w:rsidRPr="009062DA">
              <w:rPr>
                <w:b/>
                <w:bCs/>
              </w:rPr>
              <w:t>40.0</w:t>
            </w:r>
          </w:p>
        </w:tc>
        <w:tc>
          <w:tcPr>
            <w:tcW w:w="0" w:type="auto"/>
            <w:hideMark/>
          </w:tcPr>
          <w:p w14:paraId="1495F9FE" w14:textId="77777777" w:rsidR="009062DA" w:rsidRPr="009062DA" w:rsidRDefault="009062DA" w:rsidP="009062DA">
            <w:pPr>
              <w:spacing w:after="160" w:line="278" w:lineRule="auto"/>
            </w:pPr>
            <w:r w:rsidRPr="009062DA">
              <w:rPr>
                <w:b/>
                <w:bCs/>
              </w:rPr>
              <w:t>Total Uses</w:t>
            </w:r>
          </w:p>
        </w:tc>
        <w:tc>
          <w:tcPr>
            <w:tcW w:w="0" w:type="auto"/>
            <w:hideMark/>
          </w:tcPr>
          <w:p w14:paraId="58A440D7" w14:textId="77777777" w:rsidR="009062DA" w:rsidRPr="009062DA" w:rsidRDefault="009062DA" w:rsidP="009062DA">
            <w:pPr>
              <w:spacing w:after="160" w:line="278" w:lineRule="auto"/>
            </w:pPr>
            <w:r w:rsidRPr="009062DA">
              <w:rPr>
                <w:b/>
                <w:bCs/>
              </w:rPr>
              <w:t>40.0</w:t>
            </w:r>
          </w:p>
        </w:tc>
      </w:tr>
    </w:tbl>
    <w:p w14:paraId="499F87D1" w14:textId="4975726A" w:rsidR="009062DA" w:rsidRPr="009062DA" w:rsidRDefault="009062DA" w:rsidP="009062DA"/>
    <w:p w14:paraId="082A2D41" w14:textId="77777777" w:rsidR="009062DA" w:rsidRPr="009062DA" w:rsidRDefault="009062DA" w:rsidP="009062DA">
      <w:r w:rsidRPr="009062DA">
        <w:rPr>
          <w:b/>
          <w:bCs/>
        </w:rPr>
        <w:t>4.2. Key Financial Metrics</w:t>
      </w:r>
      <w:r w:rsidRPr="009062DA">
        <w:t xml:space="preserve"> The project demonstrates robust financial returns for equity investors.</w:t>
      </w:r>
    </w:p>
    <w:tbl>
      <w:tblPr>
        <w:tblStyle w:val="TableGrid"/>
        <w:tblW w:w="0" w:type="auto"/>
        <w:tblLook w:val="04A0" w:firstRow="1" w:lastRow="0" w:firstColumn="1" w:lastColumn="0" w:noHBand="0" w:noVBand="1"/>
      </w:tblPr>
      <w:tblGrid>
        <w:gridCol w:w="2629"/>
        <w:gridCol w:w="1363"/>
      </w:tblGrid>
      <w:tr w:rsidR="009062DA" w:rsidRPr="009062DA" w14:paraId="2A79A3AE" w14:textId="77777777" w:rsidTr="001D6CCD">
        <w:tc>
          <w:tcPr>
            <w:tcW w:w="0" w:type="auto"/>
            <w:hideMark/>
          </w:tcPr>
          <w:p w14:paraId="5516BF4C" w14:textId="77777777" w:rsidR="009062DA" w:rsidRPr="009062DA" w:rsidRDefault="009062DA" w:rsidP="009062DA">
            <w:pPr>
              <w:spacing w:after="160" w:line="278" w:lineRule="auto"/>
            </w:pPr>
            <w:r w:rsidRPr="009062DA">
              <w:rPr>
                <w:b/>
                <w:bCs/>
              </w:rPr>
              <w:t>Metric</w:t>
            </w:r>
          </w:p>
        </w:tc>
        <w:tc>
          <w:tcPr>
            <w:tcW w:w="0" w:type="auto"/>
            <w:hideMark/>
          </w:tcPr>
          <w:p w14:paraId="64B5B8A6" w14:textId="77777777" w:rsidR="009062DA" w:rsidRPr="009062DA" w:rsidRDefault="009062DA" w:rsidP="009062DA">
            <w:pPr>
              <w:spacing w:after="160" w:line="278" w:lineRule="auto"/>
            </w:pPr>
            <w:r w:rsidRPr="009062DA">
              <w:rPr>
                <w:b/>
                <w:bCs/>
              </w:rPr>
              <w:t>Value</w:t>
            </w:r>
          </w:p>
        </w:tc>
      </w:tr>
      <w:tr w:rsidR="009062DA" w:rsidRPr="009062DA" w14:paraId="58FA4DC5" w14:textId="77777777" w:rsidTr="001D6CCD">
        <w:tc>
          <w:tcPr>
            <w:tcW w:w="0" w:type="auto"/>
            <w:hideMark/>
          </w:tcPr>
          <w:p w14:paraId="178908DB" w14:textId="77777777" w:rsidR="009062DA" w:rsidRPr="009062DA" w:rsidRDefault="009062DA" w:rsidP="009062DA">
            <w:pPr>
              <w:spacing w:after="160" w:line="278" w:lineRule="auto"/>
            </w:pPr>
            <w:r w:rsidRPr="009062DA">
              <w:rPr>
                <w:b/>
                <w:bCs/>
              </w:rPr>
              <w:t>Equity IRR</w:t>
            </w:r>
          </w:p>
        </w:tc>
        <w:tc>
          <w:tcPr>
            <w:tcW w:w="0" w:type="auto"/>
            <w:hideMark/>
          </w:tcPr>
          <w:p w14:paraId="7F256756" w14:textId="77777777" w:rsidR="009062DA" w:rsidRPr="009062DA" w:rsidRDefault="009062DA" w:rsidP="009062DA">
            <w:pPr>
              <w:spacing w:after="160" w:line="278" w:lineRule="auto"/>
            </w:pPr>
            <w:r w:rsidRPr="009062DA">
              <w:rPr>
                <w:b/>
                <w:bCs/>
              </w:rPr>
              <w:t>37.75%</w:t>
            </w:r>
          </w:p>
        </w:tc>
      </w:tr>
      <w:tr w:rsidR="009062DA" w:rsidRPr="009062DA" w14:paraId="5F2DD5C8" w14:textId="77777777" w:rsidTr="001D6CCD">
        <w:tc>
          <w:tcPr>
            <w:tcW w:w="0" w:type="auto"/>
            <w:hideMark/>
          </w:tcPr>
          <w:p w14:paraId="15865E67" w14:textId="77777777" w:rsidR="009062DA" w:rsidRPr="009062DA" w:rsidRDefault="009062DA" w:rsidP="009062DA">
            <w:pPr>
              <w:spacing w:after="160" w:line="278" w:lineRule="auto"/>
            </w:pPr>
            <w:r w:rsidRPr="009062DA">
              <w:rPr>
                <w:b/>
                <w:bCs/>
              </w:rPr>
              <w:t>Net Present Value (NPV)</w:t>
            </w:r>
          </w:p>
        </w:tc>
        <w:tc>
          <w:tcPr>
            <w:tcW w:w="0" w:type="auto"/>
            <w:hideMark/>
          </w:tcPr>
          <w:p w14:paraId="5EE0551B" w14:textId="77777777" w:rsidR="009062DA" w:rsidRPr="009062DA" w:rsidRDefault="009062DA" w:rsidP="009062DA">
            <w:pPr>
              <w:spacing w:after="160" w:line="278" w:lineRule="auto"/>
            </w:pPr>
            <w:r w:rsidRPr="009062DA">
              <w:rPr>
                <w:b/>
                <w:bCs/>
              </w:rPr>
              <w:t>₹34.8 Crore</w:t>
            </w:r>
          </w:p>
        </w:tc>
      </w:tr>
      <w:tr w:rsidR="009062DA" w:rsidRPr="009062DA" w14:paraId="124D15E1" w14:textId="77777777" w:rsidTr="001D6CCD">
        <w:tc>
          <w:tcPr>
            <w:tcW w:w="0" w:type="auto"/>
            <w:hideMark/>
          </w:tcPr>
          <w:p w14:paraId="7C6F45D9" w14:textId="77777777" w:rsidR="009062DA" w:rsidRPr="009062DA" w:rsidRDefault="009062DA" w:rsidP="009062DA">
            <w:pPr>
              <w:spacing w:after="160" w:line="278" w:lineRule="auto"/>
            </w:pPr>
            <w:r w:rsidRPr="009062DA">
              <w:rPr>
                <w:b/>
                <w:bCs/>
              </w:rPr>
              <w:t>Payback Period</w:t>
            </w:r>
          </w:p>
        </w:tc>
        <w:tc>
          <w:tcPr>
            <w:tcW w:w="0" w:type="auto"/>
            <w:hideMark/>
          </w:tcPr>
          <w:p w14:paraId="53D7A11F" w14:textId="18F7FB4E" w:rsidR="009062DA" w:rsidRPr="009062DA" w:rsidRDefault="003D53A2" w:rsidP="009062DA">
            <w:pPr>
              <w:spacing w:after="160" w:line="278" w:lineRule="auto"/>
            </w:pPr>
            <w:r>
              <w:rPr>
                <w:b/>
                <w:bCs/>
              </w:rPr>
              <w:t>2</w:t>
            </w:r>
            <w:r w:rsidR="009062DA" w:rsidRPr="009062DA">
              <w:rPr>
                <w:b/>
                <w:bCs/>
              </w:rPr>
              <w:t xml:space="preserve"> Years</w:t>
            </w:r>
          </w:p>
        </w:tc>
      </w:tr>
    </w:tbl>
    <w:p w14:paraId="324D16A1" w14:textId="0E70B331" w:rsidR="009062DA" w:rsidRPr="009062DA" w:rsidRDefault="009062DA" w:rsidP="009062DA"/>
    <w:p w14:paraId="5269F9AD" w14:textId="77777777" w:rsidR="009062DA" w:rsidRPr="009062DA" w:rsidRDefault="009062DA" w:rsidP="009062DA">
      <w:r w:rsidRPr="009062DA">
        <w:rPr>
          <w:b/>
          <w:bCs/>
        </w:rPr>
        <w:t>4.3. Key Assumption Rationale</w:t>
      </w:r>
    </w:p>
    <w:p w14:paraId="469C3DDC" w14:textId="77777777" w:rsidR="009062DA" w:rsidRPr="009062DA" w:rsidRDefault="009062DA" w:rsidP="009062DA">
      <w:pPr>
        <w:numPr>
          <w:ilvl w:val="0"/>
          <w:numId w:val="5"/>
        </w:numPr>
      </w:pPr>
      <w:r w:rsidRPr="009062DA">
        <w:rPr>
          <w:b/>
          <w:bCs/>
        </w:rPr>
        <w:t>PPA Tariff:</w:t>
      </w:r>
      <w:r w:rsidRPr="009062DA">
        <w:t xml:space="preserve"> The assumed tariff of </w:t>
      </w:r>
      <w:r w:rsidRPr="009062DA">
        <w:rPr>
          <w:b/>
          <w:bCs/>
        </w:rPr>
        <w:t>₹2.75/kWh</w:t>
      </w:r>
      <w:r w:rsidRPr="009062DA">
        <w:t xml:space="preserve"> is in line with the weighted average tariffs discovered in utility-scale solar auctions conducted by SECI in late 2024 and early 2025.</w:t>
      </w:r>
    </w:p>
    <w:p w14:paraId="72FDFCDB" w14:textId="77777777" w:rsidR="009062DA" w:rsidRPr="009062DA" w:rsidRDefault="009062DA" w:rsidP="009062DA">
      <w:pPr>
        <w:numPr>
          <w:ilvl w:val="0"/>
          <w:numId w:val="5"/>
        </w:numPr>
      </w:pPr>
      <w:r w:rsidRPr="009062DA">
        <w:rPr>
          <w:b/>
          <w:bCs/>
        </w:rPr>
        <w:t>Capital Cost (CAPEX):</w:t>
      </w:r>
      <w:r w:rsidRPr="009062DA">
        <w:t xml:space="preserve"> The projected CAPEX of </w:t>
      </w:r>
      <w:r w:rsidRPr="009062DA">
        <w:rPr>
          <w:b/>
          <w:bCs/>
        </w:rPr>
        <w:t>₹4.0 Crore/MW</w:t>
      </w:r>
      <w:r w:rsidRPr="009062DA">
        <w:t xml:space="preserve"> is based on current market data for Tier-1 modules and balance-of-system components, reflecting recent project costs in Rajasthan.</w:t>
      </w:r>
    </w:p>
    <w:p w14:paraId="14DA58E5" w14:textId="77777777" w:rsidR="009062DA" w:rsidRPr="009062DA" w:rsidRDefault="009062DA" w:rsidP="009062DA">
      <w:r w:rsidRPr="009062DA">
        <w:rPr>
          <w:b/>
          <w:bCs/>
        </w:rPr>
        <w:t>4.4. Projected Financials</w:t>
      </w:r>
      <w:r w:rsidRPr="009062DA">
        <w:t xml:space="preserve"> The project is projected to be profitable, with stable cash flows generated over the 25-year PPA term.</w:t>
      </w:r>
    </w:p>
    <w:p w14:paraId="3022FED4" w14:textId="137BECE9" w:rsidR="009062DA" w:rsidRPr="009062DA" w:rsidRDefault="0070056C" w:rsidP="009062DA">
      <w:r w:rsidRPr="0070056C">
        <w:rPr>
          <w:b/>
          <w:bCs/>
        </w:rPr>
        <w:lastRenderedPageBreak/>
        <w:drawing>
          <wp:inline distT="0" distB="0" distL="0" distR="0" wp14:anchorId="767B1909" wp14:editId="23120388">
            <wp:extent cx="5731510" cy="2388870"/>
            <wp:effectExtent l="19050" t="19050" r="21590" b="11430"/>
            <wp:docPr id="64951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10165" name=""/>
                    <pic:cNvPicPr/>
                  </pic:nvPicPr>
                  <pic:blipFill>
                    <a:blip r:embed="rId5"/>
                    <a:stretch>
                      <a:fillRect/>
                    </a:stretch>
                  </pic:blipFill>
                  <pic:spPr>
                    <a:xfrm>
                      <a:off x="0" y="0"/>
                      <a:ext cx="5731510" cy="2388870"/>
                    </a:xfrm>
                    <a:prstGeom prst="rect">
                      <a:avLst/>
                    </a:prstGeom>
                    <a:ln>
                      <a:solidFill>
                        <a:schemeClr val="tx1"/>
                      </a:solidFill>
                    </a:ln>
                  </pic:spPr>
                </pic:pic>
              </a:graphicData>
            </a:graphic>
          </wp:inline>
        </w:drawing>
      </w:r>
      <w:r w:rsidRPr="0070056C">
        <w:rPr>
          <w:b/>
          <w:bCs/>
        </w:rPr>
        <w:t xml:space="preserve"> </w:t>
      </w:r>
      <w:r w:rsidRPr="0070056C">
        <w:rPr>
          <w:b/>
          <w:bCs/>
        </w:rPr>
        <w:drawing>
          <wp:inline distT="0" distB="0" distL="0" distR="0" wp14:anchorId="143C4F7C" wp14:editId="5587E946">
            <wp:extent cx="5731510" cy="2356485"/>
            <wp:effectExtent l="19050" t="19050" r="21590" b="24765"/>
            <wp:docPr id="2111884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4918" name=""/>
                    <pic:cNvPicPr/>
                  </pic:nvPicPr>
                  <pic:blipFill>
                    <a:blip r:embed="rId6"/>
                    <a:stretch>
                      <a:fillRect/>
                    </a:stretch>
                  </pic:blipFill>
                  <pic:spPr>
                    <a:xfrm>
                      <a:off x="0" y="0"/>
                      <a:ext cx="5731510" cy="2356485"/>
                    </a:xfrm>
                    <a:prstGeom prst="rect">
                      <a:avLst/>
                    </a:prstGeom>
                    <a:ln>
                      <a:solidFill>
                        <a:schemeClr val="tx1"/>
                      </a:solidFill>
                    </a:ln>
                  </pic:spPr>
                </pic:pic>
              </a:graphicData>
            </a:graphic>
          </wp:inline>
        </w:drawing>
      </w:r>
    </w:p>
    <w:p w14:paraId="4996DF03" w14:textId="77777777" w:rsidR="009062DA" w:rsidRPr="009062DA" w:rsidRDefault="009062DA" w:rsidP="009062DA">
      <w:r w:rsidRPr="009062DA">
        <w:pict w14:anchorId="63C27CC8">
          <v:rect id="_x0000_i1084" style="width:0;height:1.5pt" o:hralign="center" o:hrstd="t" o:hr="t" fillcolor="#a0a0a0" stroked="f"/>
        </w:pict>
      </w:r>
    </w:p>
    <w:p w14:paraId="3BF64152" w14:textId="7FCCAA9D" w:rsidR="009062DA" w:rsidRPr="009062DA" w:rsidRDefault="009062DA" w:rsidP="009062DA">
      <w:pPr>
        <w:rPr>
          <w:b/>
          <w:bCs/>
        </w:rPr>
      </w:pPr>
      <w:r w:rsidRPr="009062DA">
        <w:rPr>
          <w:b/>
          <w:bCs/>
        </w:rPr>
        <w:t>5. Risk Analysis &amp; Mitigation</w:t>
      </w:r>
    </w:p>
    <w:p w14:paraId="7134A859" w14:textId="77777777" w:rsidR="009062DA" w:rsidRPr="009062DA" w:rsidRDefault="009062DA" w:rsidP="009062DA">
      <w:r w:rsidRPr="009062DA">
        <w:t>A summary of key risks and the strategies in place to mitigate them.</w:t>
      </w:r>
    </w:p>
    <w:p w14:paraId="0C2B5C11" w14:textId="77777777" w:rsidR="009062DA" w:rsidRPr="009062DA" w:rsidRDefault="009062DA" w:rsidP="009062DA">
      <w:pPr>
        <w:numPr>
          <w:ilvl w:val="0"/>
          <w:numId w:val="6"/>
        </w:numPr>
      </w:pPr>
      <w:r w:rsidRPr="009062DA">
        <w:rPr>
          <w:b/>
          <w:bCs/>
        </w:rPr>
        <w:t>Construction Risk:</w:t>
      </w:r>
      <w:r w:rsidRPr="009062DA">
        <w:t xml:space="preserve"> Risk of delays or cost overruns.</w:t>
      </w:r>
    </w:p>
    <w:p w14:paraId="7677A3DB" w14:textId="77777777" w:rsidR="009062DA" w:rsidRPr="009062DA" w:rsidRDefault="009062DA" w:rsidP="009062DA">
      <w:pPr>
        <w:numPr>
          <w:ilvl w:val="1"/>
          <w:numId w:val="6"/>
        </w:numPr>
      </w:pPr>
      <w:r w:rsidRPr="009062DA">
        <w:rPr>
          <w:b/>
          <w:bCs/>
        </w:rPr>
        <w:t>Mitigation:</w:t>
      </w:r>
      <w:r w:rsidRPr="009062DA">
        <w:t xml:space="preserve"> Hiring an experienced EPC (Engineering, Procurement, and Construction) contractor with a fixed-price, date-certain contract.</w:t>
      </w:r>
    </w:p>
    <w:p w14:paraId="66D604CA" w14:textId="77777777" w:rsidR="009062DA" w:rsidRPr="009062DA" w:rsidRDefault="009062DA" w:rsidP="009062DA">
      <w:pPr>
        <w:numPr>
          <w:ilvl w:val="0"/>
          <w:numId w:val="6"/>
        </w:numPr>
      </w:pPr>
      <w:r w:rsidRPr="009062DA">
        <w:rPr>
          <w:b/>
          <w:bCs/>
        </w:rPr>
        <w:t>Operational Risk:</w:t>
      </w:r>
      <w:r w:rsidRPr="009062DA">
        <w:t xml:space="preserve"> Risk of the plant generating less electricity than expected.</w:t>
      </w:r>
    </w:p>
    <w:p w14:paraId="3B829984" w14:textId="77777777" w:rsidR="009062DA" w:rsidRPr="009062DA" w:rsidRDefault="009062DA" w:rsidP="009062DA">
      <w:pPr>
        <w:numPr>
          <w:ilvl w:val="1"/>
          <w:numId w:val="6"/>
        </w:numPr>
      </w:pPr>
      <w:r w:rsidRPr="009062DA">
        <w:rPr>
          <w:b/>
          <w:bCs/>
        </w:rPr>
        <w:t>Mitigation:</w:t>
      </w:r>
      <w:r w:rsidRPr="009062DA">
        <w:t xml:space="preserve"> Using Tier-1 equipment suppliers with performance guarantees; having a professional O&amp;M (Operations &amp; Maintenance) team.</w:t>
      </w:r>
    </w:p>
    <w:p w14:paraId="1C483885" w14:textId="77777777" w:rsidR="009062DA" w:rsidRPr="009062DA" w:rsidRDefault="009062DA" w:rsidP="009062DA">
      <w:pPr>
        <w:numPr>
          <w:ilvl w:val="0"/>
          <w:numId w:val="6"/>
        </w:numPr>
      </w:pPr>
      <w:r w:rsidRPr="009062DA">
        <w:rPr>
          <w:b/>
          <w:bCs/>
        </w:rPr>
        <w:t>Counterparty Risk:</w:t>
      </w:r>
      <w:r w:rsidRPr="009062DA">
        <w:t xml:space="preserve"> Risk of the entity buying the power failing to pay.</w:t>
      </w:r>
    </w:p>
    <w:p w14:paraId="19ACF872" w14:textId="77777777" w:rsidR="009062DA" w:rsidRPr="009062DA" w:rsidRDefault="009062DA" w:rsidP="009062DA">
      <w:pPr>
        <w:numPr>
          <w:ilvl w:val="1"/>
          <w:numId w:val="6"/>
        </w:numPr>
      </w:pPr>
      <w:r w:rsidRPr="009062DA">
        <w:rPr>
          <w:b/>
          <w:bCs/>
        </w:rPr>
        <w:t>Mitigation:</w:t>
      </w:r>
      <w:r w:rsidRPr="009062DA">
        <w:t xml:space="preserve"> The PPA is with the </w:t>
      </w:r>
      <w:r w:rsidRPr="009062DA">
        <w:rPr>
          <w:b/>
          <w:bCs/>
        </w:rPr>
        <w:t>Solar Energy Corporation of India (SECI)</w:t>
      </w:r>
      <w:r w:rsidRPr="009062DA">
        <w:t>. SECI has a strong credit rating from domestic agencies like ICRA and a proven track record of timely payments, making it one of the most secure counterparties in the Indian power sector.</w:t>
      </w:r>
    </w:p>
    <w:sectPr w:rsidR="009062DA" w:rsidRPr="00906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07C57"/>
    <w:multiLevelType w:val="multilevel"/>
    <w:tmpl w:val="E758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0442F"/>
    <w:multiLevelType w:val="multilevel"/>
    <w:tmpl w:val="08666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3E7DC8"/>
    <w:multiLevelType w:val="multilevel"/>
    <w:tmpl w:val="816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C0F44"/>
    <w:multiLevelType w:val="multilevel"/>
    <w:tmpl w:val="C3AE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53A61"/>
    <w:multiLevelType w:val="multilevel"/>
    <w:tmpl w:val="CCB2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A66FC4"/>
    <w:multiLevelType w:val="multilevel"/>
    <w:tmpl w:val="207A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351191">
    <w:abstractNumId w:val="4"/>
  </w:num>
  <w:num w:numId="2" w16cid:durableId="1277827447">
    <w:abstractNumId w:val="0"/>
  </w:num>
  <w:num w:numId="3" w16cid:durableId="1624270313">
    <w:abstractNumId w:val="5"/>
  </w:num>
  <w:num w:numId="4" w16cid:durableId="41296565">
    <w:abstractNumId w:val="2"/>
  </w:num>
  <w:num w:numId="5" w16cid:durableId="1626697592">
    <w:abstractNumId w:val="3"/>
  </w:num>
  <w:num w:numId="6" w16cid:durableId="1859391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D6"/>
    <w:rsid w:val="001C6ED6"/>
    <w:rsid w:val="001D6CCD"/>
    <w:rsid w:val="003D53A2"/>
    <w:rsid w:val="00610AE9"/>
    <w:rsid w:val="0070056C"/>
    <w:rsid w:val="009062DA"/>
    <w:rsid w:val="00B80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FDA5"/>
  <w15:chartTrackingRefBased/>
  <w15:docId w15:val="{210260E3-3005-44A6-B273-B2909CA7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E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6E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6E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6E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6E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6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6E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6E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6E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6E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6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ED6"/>
    <w:rPr>
      <w:rFonts w:eastAsiaTheme="majorEastAsia" w:cstheme="majorBidi"/>
      <w:color w:val="272727" w:themeColor="text1" w:themeTint="D8"/>
    </w:rPr>
  </w:style>
  <w:style w:type="paragraph" w:styleId="Title">
    <w:name w:val="Title"/>
    <w:basedOn w:val="Normal"/>
    <w:next w:val="Normal"/>
    <w:link w:val="TitleChar"/>
    <w:uiPriority w:val="10"/>
    <w:qFormat/>
    <w:rsid w:val="001C6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ED6"/>
    <w:pPr>
      <w:spacing w:before="160"/>
      <w:jc w:val="center"/>
    </w:pPr>
    <w:rPr>
      <w:i/>
      <w:iCs/>
      <w:color w:val="404040" w:themeColor="text1" w:themeTint="BF"/>
    </w:rPr>
  </w:style>
  <w:style w:type="character" w:customStyle="1" w:styleId="QuoteChar">
    <w:name w:val="Quote Char"/>
    <w:basedOn w:val="DefaultParagraphFont"/>
    <w:link w:val="Quote"/>
    <w:uiPriority w:val="29"/>
    <w:rsid w:val="001C6ED6"/>
    <w:rPr>
      <w:i/>
      <w:iCs/>
      <w:color w:val="404040" w:themeColor="text1" w:themeTint="BF"/>
    </w:rPr>
  </w:style>
  <w:style w:type="paragraph" w:styleId="ListParagraph">
    <w:name w:val="List Paragraph"/>
    <w:basedOn w:val="Normal"/>
    <w:uiPriority w:val="34"/>
    <w:qFormat/>
    <w:rsid w:val="001C6ED6"/>
    <w:pPr>
      <w:ind w:left="720"/>
      <w:contextualSpacing/>
    </w:pPr>
  </w:style>
  <w:style w:type="character" w:styleId="IntenseEmphasis">
    <w:name w:val="Intense Emphasis"/>
    <w:basedOn w:val="DefaultParagraphFont"/>
    <w:uiPriority w:val="21"/>
    <w:qFormat/>
    <w:rsid w:val="001C6ED6"/>
    <w:rPr>
      <w:i/>
      <w:iCs/>
      <w:color w:val="2F5496" w:themeColor="accent1" w:themeShade="BF"/>
    </w:rPr>
  </w:style>
  <w:style w:type="paragraph" w:styleId="IntenseQuote">
    <w:name w:val="Intense Quote"/>
    <w:basedOn w:val="Normal"/>
    <w:next w:val="Normal"/>
    <w:link w:val="IntenseQuoteChar"/>
    <w:uiPriority w:val="30"/>
    <w:qFormat/>
    <w:rsid w:val="001C6E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6ED6"/>
    <w:rPr>
      <w:i/>
      <w:iCs/>
      <w:color w:val="2F5496" w:themeColor="accent1" w:themeShade="BF"/>
    </w:rPr>
  </w:style>
  <w:style w:type="character" w:styleId="IntenseReference">
    <w:name w:val="Intense Reference"/>
    <w:basedOn w:val="DefaultParagraphFont"/>
    <w:uiPriority w:val="32"/>
    <w:qFormat/>
    <w:rsid w:val="001C6ED6"/>
    <w:rPr>
      <w:b/>
      <w:bCs/>
      <w:smallCaps/>
      <w:color w:val="2F5496" w:themeColor="accent1" w:themeShade="BF"/>
      <w:spacing w:val="5"/>
    </w:rPr>
  </w:style>
  <w:style w:type="table" w:styleId="TableGrid">
    <w:name w:val="Table Grid"/>
    <w:basedOn w:val="TableNormal"/>
    <w:uiPriority w:val="39"/>
    <w:rsid w:val="001D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589709">
      <w:bodyDiv w:val="1"/>
      <w:marLeft w:val="0"/>
      <w:marRight w:val="0"/>
      <w:marTop w:val="0"/>
      <w:marBottom w:val="0"/>
      <w:divBdr>
        <w:top w:val="none" w:sz="0" w:space="0" w:color="auto"/>
        <w:left w:val="none" w:sz="0" w:space="0" w:color="auto"/>
        <w:bottom w:val="none" w:sz="0" w:space="0" w:color="auto"/>
        <w:right w:val="none" w:sz="0" w:space="0" w:color="auto"/>
      </w:divBdr>
      <w:divsChild>
        <w:div w:id="1808621475">
          <w:marLeft w:val="0"/>
          <w:marRight w:val="0"/>
          <w:marTop w:val="0"/>
          <w:marBottom w:val="0"/>
          <w:divBdr>
            <w:top w:val="none" w:sz="0" w:space="0" w:color="auto"/>
            <w:left w:val="none" w:sz="0" w:space="0" w:color="auto"/>
            <w:bottom w:val="none" w:sz="0" w:space="0" w:color="auto"/>
            <w:right w:val="none" w:sz="0" w:space="0" w:color="auto"/>
          </w:divBdr>
          <w:divsChild>
            <w:div w:id="1007634043">
              <w:marLeft w:val="0"/>
              <w:marRight w:val="0"/>
              <w:marTop w:val="0"/>
              <w:marBottom w:val="0"/>
              <w:divBdr>
                <w:top w:val="none" w:sz="0" w:space="0" w:color="auto"/>
                <w:left w:val="none" w:sz="0" w:space="0" w:color="auto"/>
                <w:bottom w:val="none" w:sz="0" w:space="0" w:color="auto"/>
                <w:right w:val="none" w:sz="0" w:space="0" w:color="auto"/>
              </w:divBdr>
              <w:divsChild>
                <w:div w:id="1539322081">
                  <w:marLeft w:val="0"/>
                  <w:marRight w:val="0"/>
                  <w:marTop w:val="0"/>
                  <w:marBottom w:val="0"/>
                  <w:divBdr>
                    <w:top w:val="none" w:sz="0" w:space="0" w:color="auto"/>
                    <w:left w:val="none" w:sz="0" w:space="0" w:color="auto"/>
                    <w:bottom w:val="none" w:sz="0" w:space="0" w:color="auto"/>
                    <w:right w:val="none" w:sz="0" w:space="0" w:color="auto"/>
                  </w:divBdr>
                  <w:divsChild>
                    <w:div w:id="558828638">
                      <w:marLeft w:val="0"/>
                      <w:marRight w:val="0"/>
                      <w:marTop w:val="0"/>
                      <w:marBottom w:val="0"/>
                      <w:divBdr>
                        <w:top w:val="none" w:sz="0" w:space="0" w:color="auto"/>
                        <w:left w:val="none" w:sz="0" w:space="0" w:color="auto"/>
                        <w:bottom w:val="none" w:sz="0" w:space="0" w:color="auto"/>
                        <w:right w:val="none" w:sz="0" w:space="0" w:color="auto"/>
                      </w:divBdr>
                    </w:div>
                    <w:div w:id="21182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89296">
          <w:marLeft w:val="0"/>
          <w:marRight w:val="0"/>
          <w:marTop w:val="0"/>
          <w:marBottom w:val="0"/>
          <w:divBdr>
            <w:top w:val="none" w:sz="0" w:space="0" w:color="auto"/>
            <w:left w:val="none" w:sz="0" w:space="0" w:color="auto"/>
            <w:bottom w:val="none" w:sz="0" w:space="0" w:color="auto"/>
            <w:right w:val="none" w:sz="0" w:space="0" w:color="auto"/>
          </w:divBdr>
          <w:divsChild>
            <w:div w:id="1244490527">
              <w:marLeft w:val="0"/>
              <w:marRight w:val="0"/>
              <w:marTop w:val="0"/>
              <w:marBottom w:val="0"/>
              <w:divBdr>
                <w:top w:val="none" w:sz="0" w:space="0" w:color="auto"/>
                <w:left w:val="none" w:sz="0" w:space="0" w:color="auto"/>
                <w:bottom w:val="none" w:sz="0" w:space="0" w:color="auto"/>
                <w:right w:val="none" w:sz="0" w:space="0" w:color="auto"/>
              </w:divBdr>
              <w:divsChild>
                <w:div w:id="611130785">
                  <w:marLeft w:val="0"/>
                  <w:marRight w:val="0"/>
                  <w:marTop w:val="0"/>
                  <w:marBottom w:val="0"/>
                  <w:divBdr>
                    <w:top w:val="none" w:sz="0" w:space="0" w:color="auto"/>
                    <w:left w:val="none" w:sz="0" w:space="0" w:color="auto"/>
                    <w:bottom w:val="none" w:sz="0" w:space="0" w:color="auto"/>
                    <w:right w:val="none" w:sz="0" w:space="0" w:color="auto"/>
                  </w:divBdr>
                  <w:divsChild>
                    <w:div w:id="1093666290">
                      <w:marLeft w:val="0"/>
                      <w:marRight w:val="0"/>
                      <w:marTop w:val="0"/>
                      <w:marBottom w:val="0"/>
                      <w:divBdr>
                        <w:top w:val="none" w:sz="0" w:space="0" w:color="auto"/>
                        <w:left w:val="none" w:sz="0" w:space="0" w:color="auto"/>
                        <w:bottom w:val="none" w:sz="0" w:space="0" w:color="auto"/>
                        <w:right w:val="none" w:sz="0" w:space="0" w:color="auto"/>
                      </w:divBdr>
                    </w:div>
                    <w:div w:id="4181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3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279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324304">
      <w:bodyDiv w:val="1"/>
      <w:marLeft w:val="0"/>
      <w:marRight w:val="0"/>
      <w:marTop w:val="0"/>
      <w:marBottom w:val="0"/>
      <w:divBdr>
        <w:top w:val="none" w:sz="0" w:space="0" w:color="auto"/>
        <w:left w:val="none" w:sz="0" w:space="0" w:color="auto"/>
        <w:bottom w:val="none" w:sz="0" w:space="0" w:color="auto"/>
        <w:right w:val="none" w:sz="0" w:space="0" w:color="auto"/>
      </w:divBdr>
      <w:divsChild>
        <w:div w:id="1619026926">
          <w:marLeft w:val="0"/>
          <w:marRight w:val="0"/>
          <w:marTop w:val="0"/>
          <w:marBottom w:val="0"/>
          <w:divBdr>
            <w:top w:val="none" w:sz="0" w:space="0" w:color="auto"/>
            <w:left w:val="none" w:sz="0" w:space="0" w:color="auto"/>
            <w:bottom w:val="none" w:sz="0" w:space="0" w:color="auto"/>
            <w:right w:val="none" w:sz="0" w:space="0" w:color="auto"/>
          </w:divBdr>
          <w:divsChild>
            <w:div w:id="2125685659">
              <w:marLeft w:val="0"/>
              <w:marRight w:val="0"/>
              <w:marTop w:val="0"/>
              <w:marBottom w:val="0"/>
              <w:divBdr>
                <w:top w:val="none" w:sz="0" w:space="0" w:color="auto"/>
                <w:left w:val="none" w:sz="0" w:space="0" w:color="auto"/>
                <w:bottom w:val="none" w:sz="0" w:space="0" w:color="auto"/>
                <w:right w:val="none" w:sz="0" w:space="0" w:color="auto"/>
              </w:divBdr>
              <w:divsChild>
                <w:div w:id="1584879859">
                  <w:marLeft w:val="0"/>
                  <w:marRight w:val="0"/>
                  <w:marTop w:val="0"/>
                  <w:marBottom w:val="0"/>
                  <w:divBdr>
                    <w:top w:val="none" w:sz="0" w:space="0" w:color="auto"/>
                    <w:left w:val="none" w:sz="0" w:space="0" w:color="auto"/>
                    <w:bottom w:val="none" w:sz="0" w:space="0" w:color="auto"/>
                    <w:right w:val="none" w:sz="0" w:space="0" w:color="auto"/>
                  </w:divBdr>
                  <w:divsChild>
                    <w:div w:id="1627352460">
                      <w:marLeft w:val="0"/>
                      <w:marRight w:val="0"/>
                      <w:marTop w:val="0"/>
                      <w:marBottom w:val="0"/>
                      <w:divBdr>
                        <w:top w:val="none" w:sz="0" w:space="0" w:color="auto"/>
                        <w:left w:val="none" w:sz="0" w:space="0" w:color="auto"/>
                        <w:bottom w:val="none" w:sz="0" w:space="0" w:color="auto"/>
                        <w:right w:val="none" w:sz="0" w:space="0" w:color="auto"/>
                      </w:divBdr>
                    </w:div>
                    <w:div w:id="13347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4334">
          <w:marLeft w:val="0"/>
          <w:marRight w:val="0"/>
          <w:marTop w:val="0"/>
          <w:marBottom w:val="0"/>
          <w:divBdr>
            <w:top w:val="none" w:sz="0" w:space="0" w:color="auto"/>
            <w:left w:val="none" w:sz="0" w:space="0" w:color="auto"/>
            <w:bottom w:val="none" w:sz="0" w:space="0" w:color="auto"/>
            <w:right w:val="none" w:sz="0" w:space="0" w:color="auto"/>
          </w:divBdr>
          <w:divsChild>
            <w:div w:id="1730495755">
              <w:marLeft w:val="0"/>
              <w:marRight w:val="0"/>
              <w:marTop w:val="0"/>
              <w:marBottom w:val="0"/>
              <w:divBdr>
                <w:top w:val="none" w:sz="0" w:space="0" w:color="auto"/>
                <w:left w:val="none" w:sz="0" w:space="0" w:color="auto"/>
                <w:bottom w:val="none" w:sz="0" w:space="0" w:color="auto"/>
                <w:right w:val="none" w:sz="0" w:space="0" w:color="auto"/>
              </w:divBdr>
              <w:divsChild>
                <w:div w:id="314993507">
                  <w:marLeft w:val="0"/>
                  <w:marRight w:val="0"/>
                  <w:marTop w:val="0"/>
                  <w:marBottom w:val="0"/>
                  <w:divBdr>
                    <w:top w:val="none" w:sz="0" w:space="0" w:color="auto"/>
                    <w:left w:val="none" w:sz="0" w:space="0" w:color="auto"/>
                    <w:bottom w:val="none" w:sz="0" w:space="0" w:color="auto"/>
                    <w:right w:val="none" w:sz="0" w:space="0" w:color="auto"/>
                  </w:divBdr>
                  <w:divsChild>
                    <w:div w:id="641692714">
                      <w:marLeft w:val="0"/>
                      <w:marRight w:val="0"/>
                      <w:marTop w:val="0"/>
                      <w:marBottom w:val="0"/>
                      <w:divBdr>
                        <w:top w:val="none" w:sz="0" w:space="0" w:color="auto"/>
                        <w:left w:val="none" w:sz="0" w:space="0" w:color="auto"/>
                        <w:bottom w:val="none" w:sz="0" w:space="0" w:color="auto"/>
                        <w:right w:val="none" w:sz="0" w:space="0" w:color="auto"/>
                      </w:divBdr>
                    </w:div>
                    <w:div w:id="7214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64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06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855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6915">
      <w:bodyDiv w:val="1"/>
      <w:marLeft w:val="0"/>
      <w:marRight w:val="0"/>
      <w:marTop w:val="0"/>
      <w:marBottom w:val="0"/>
      <w:divBdr>
        <w:top w:val="none" w:sz="0" w:space="0" w:color="auto"/>
        <w:left w:val="none" w:sz="0" w:space="0" w:color="auto"/>
        <w:bottom w:val="none" w:sz="0" w:space="0" w:color="auto"/>
        <w:right w:val="none" w:sz="0" w:space="0" w:color="auto"/>
      </w:divBdr>
      <w:divsChild>
        <w:div w:id="783185284">
          <w:marLeft w:val="0"/>
          <w:marRight w:val="0"/>
          <w:marTop w:val="0"/>
          <w:marBottom w:val="0"/>
          <w:divBdr>
            <w:top w:val="none" w:sz="0" w:space="0" w:color="auto"/>
            <w:left w:val="none" w:sz="0" w:space="0" w:color="auto"/>
            <w:bottom w:val="none" w:sz="0" w:space="0" w:color="auto"/>
            <w:right w:val="none" w:sz="0" w:space="0" w:color="auto"/>
          </w:divBdr>
          <w:divsChild>
            <w:div w:id="1236864893">
              <w:marLeft w:val="0"/>
              <w:marRight w:val="0"/>
              <w:marTop w:val="0"/>
              <w:marBottom w:val="0"/>
              <w:divBdr>
                <w:top w:val="none" w:sz="0" w:space="0" w:color="auto"/>
                <w:left w:val="none" w:sz="0" w:space="0" w:color="auto"/>
                <w:bottom w:val="none" w:sz="0" w:space="0" w:color="auto"/>
                <w:right w:val="none" w:sz="0" w:space="0" w:color="auto"/>
              </w:divBdr>
              <w:divsChild>
                <w:div w:id="1382241258">
                  <w:marLeft w:val="0"/>
                  <w:marRight w:val="0"/>
                  <w:marTop w:val="0"/>
                  <w:marBottom w:val="0"/>
                  <w:divBdr>
                    <w:top w:val="none" w:sz="0" w:space="0" w:color="auto"/>
                    <w:left w:val="none" w:sz="0" w:space="0" w:color="auto"/>
                    <w:bottom w:val="none" w:sz="0" w:space="0" w:color="auto"/>
                    <w:right w:val="none" w:sz="0" w:space="0" w:color="auto"/>
                  </w:divBdr>
                  <w:divsChild>
                    <w:div w:id="2055540184">
                      <w:marLeft w:val="0"/>
                      <w:marRight w:val="0"/>
                      <w:marTop w:val="0"/>
                      <w:marBottom w:val="0"/>
                      <w:divBdr>
                        <w:top w:val="none" w:sz="0" w:space="0" w:color="auto"/>
                        <w:left w:val="none" w:sz="0" w:space="0" w:color="auto"/>
                        <w:bottom w:val="none" w:sz="0" w:space="0" w:color="auto"/>
                        <w:right w:val="none" w:sz="0" w:space="0" w:color="auto"/>
                      </w:divBdr>
                    </w:div>
                    <w:div w:id="6420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4956">
          <w:marLeft w:val="0"/>
          <w:marRight w:val="0"/>
          <w:marTop w:val="0"/>
          <w:marBottom w:val="0"/>
          <w:divBdr>
            <w:top w:val="none" w:sz="0" w:space="0" w:color="auto"/>
            <w:left w:val="none" w:sz="0" w:space="0" w:color="auto"/>
            <w:bottom w:val="none" w:sz="0" w:space="0" w:color="auto"/>
            <w:right w:val="none" w:sz="0" w:space="0" w:color="auto"/>
          </w:divBdr>
          <w:divsChild>
            <w:div w:id="1399088906">
              <w:marLeft w:val="0"/>
              <w:marRight w:val="0"/>
              <w:marTop w:val="0"/>
              <w:marBottom w:val="0"/>
              <w:divBdr>
                <w:top w:val="none" w:sz="0" w:space="0" w:color="auto"/>
                <w:left w:val="none" w:sz="0" w:space="0" w:color="auto"/>
                <w:bottom w:val="none" w:sz="0" w:space="0" w:color="auto"/>
                <w:right w:val="none" w:sz="0" w:space="0" w:color="auto"/>
              </w:divBdr>
              <w:divsChild>
                <w:div w:id="1016423596">
                  <w:marLeft w:val="0"/>
                  <w:marRight w:val="0"/>
                  <w:marTop w:val="0"/>
                  <w:marBottom w:val="0"/>
                  <w:divBdr>
                    <w:top w:val="none" w:sz="0" w:space="0" w:color="auto"/>
                    <w:left w:val="none" w:sz="0" w:space="0" w:color="auto"/>
                    <w:bottom w:val="none" w:sz="0" w:space="0" w:color="auto"/>
                    <w:right w:val="none" w:sz="0" w:space="0" w:color="auto"/>
                  </w:divBdr>
                  <w:divsChild>
                    <w:div w:id="667294658">
                      <w:marLeft w:val="0"/>
                      <w:marRight w:val="0"/>
                      <w:marTop w:val="0"/>
                      <w:marBottom w:val="0"/>
                      <w:divBdr>
                        <w:top w:val="none" w:sz="0" w:space="0" w:color="auto"/>
                        <w:left w:val="none" w:sz="0" w:space="0" w:color="auto"/>
                        <w:bottom w:val="none" w:sz="0" w:space="0" w:color="auto"/>
                        <w:right w:val="none" w:sz="0" w:space="0" w:color="auto"/>
                      </w:divBdr>
                    </w:div>
                    <w:div w:id="144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55967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937044">
      <w:bodyDiv w:val="1"/>
      <w:marLeft w:val="0"/>
      <w:marRight w:val="0"/>
      <w:marTop w:val="0"/>
      <w:marBottom w:val="0"/>
      <w:divBdr>
        <w:top w:val="none" w:sz="0" w:space="0" w:color="auto"/>
        <w:left w:val="none" w:sz="0" w:space="0" w:color="auto"/>
        <w:bottom w:val="none" w:sz="0" w:space="0" w:color="auto"/>
        <w:right w:val="none" w:sz="0" w:space="0" w:color="auto"/>
      </w:divBdr>
      <w:divsChild>
        <w:div w:id="1729642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885053">
      <w:bodyDiv w:val="1"/>
      <w:marLeft w:val="0"/>
      <w:marRight w:val="0"/>
      <w:marTop w:val="0"/>
      <w:marBottom w:val="0"/>
      <w:divBdr>
        <w:top w:val="none" w:sz="0" w:space="0" w:color="auto"/>
        <w:left w:val="none" w:sz="0" w:space="0" w:color="auto"/>
        <w:bottom w:val="none" w:sz="0" w:space="0" w:color="auto"/>
        <w:right w:val="none" w:sz="0" w:space="0" w:color="auto"/>
      </w:divBdr>
      <w:divsChild>
        <w:div w:id="1664897630">
          <w:marLeft w:val="0"/>
          <w:marRight w:val="0"/>
          <w:marTop w:val="0"/>
          <w:marBottom w:val="0"/>
          <w:divBdr>
            <w:top w:val="none" w:sz="0" w:space="0" w:color="auto"/>
            <w:left w:val="none" w:sz="0" w:space="0" w:color="auto"/>
            <w:bottom w:val="none" w:sz="0" w:space="0" w:color="auto"/>
            <w:right w:val="none" w:sz="0" w:space="0" w:color="auto"/>
          </w:divBdr>
          <w:divsChild>
            <w:div w:id="388260693">
              <w:marLeft w:val="0"/>
              <w:marRight w:val="0"/>
              <w:marTop w:val="0"/>
              <w:marBottom w:val="0"/>
              <w:divBdr>
                <w:top w:val="none" w:sz="0" w:space="0" w:color="auto"/>
                <w:left w:val="none" w:sz="0" w:space="0" w:color="auto"/>
                <w:bottom w:val="none" w:sz="0" w:space="0" w:color="auto"/>
                <w:right w:val="none" w:sz="0" w:space="0" w:color="auto"/>
              </w:divBdr>
              <w:divsChild>
                <w:div w:id="2082024682">
                  <w:marLeft w:val="0"/>
                  <w:marRight w:val="0"/>
                  <w:marTop w:val="0"/>
                  <w:marBottom w:val="0"/>
                  <w:divBdr>
                    <w:top w:val="none" w:sz="0" w:space="0" w:color="auto"/>
                    <w:left w:val="none" w:sz="0" w:space="0" w:color="auto"/>
                    <w:bottom w:val="none" w:sz="0" w:space="0" w:color="auto"/>
                    <w:right w:val="none" w:sz="0" w:space="0" w:color="auto"/>
                  </w:divBdr>
                  <w:divsChild>
                    <w:div w:id="2031880836">
                      <w:marLeft w:val="0"/>
                      <w:marRight w:val="0"/>
                      <w:marTop w:val="0"/>
                      <w:marBottom w:val="0"/>
                      <w:divBdr>
                        <w:top w:val="none" w:sz="0" w:space="0" w:color="auto"/>
                        <w:left w:val="none" w:sz="0" w:space="0" w:color="auto"/>
                        <w:bottom w:val="none" w:sz="0" w:space="0" w:color="auto"/>
                        <w:right w:val="none" w:sz="0" w:space="0" w:color="auto"/>
                      </w:divBdr>
                    </w:div>
                    <w:div w:id="1289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92128">
          <w:marLeft w:val="0"/>
          <w:marRight w:val="0"/>
          <w:marTop w:val="0"/>
          <w:marBottom w:val="0"/>
          <w:divBdr>
            <w:top w:val="none" w:sz="0" w:space="0" w:color="auto"/>
            <w:left w:val="none" w:sz="0" w:space="0" w:color="auto"/>
            <w:bottom w:val="none" w:sz="0" w:space="0" w:color="auto"/>
            <w:right w:val="none" w:sz="0" w:space="0" w:color="auto"/>
          </w:divBdr>
          <w:divsChild>
            <w:div w:id="1571191349">
              <w:marLeft w:val="0"/>
              <w:marRight w:val="0"/>
              <w:marTop w:val="0"/>
              <w:marBottom w:val="0"/>
              <w:divBdr>
                <w:top w:val="none" w:sz="0" w:space="0" w:color="auto"/>
                <w:left w:val="none" w:sz="0" w:space="0" w:color="auto"/>
                <w:bottom w:val="none" w:sz="0" w:space="0" w:color="auto"/>
                <w:right w:val="none" w:sz="0" w:space="0" w:color="auto"/>
              </w:divBdr>
              <w:divsChild>
                <w:div w:id="613101113">
                  <w:marLeft w:val="0"/>
                  <w:marRight w:val="0"/>
                  <w:marTop w:val="0"/>
                  <w:marBottom w:val="0"/>
                  <w:divBdr>
                    <w:top w:val="none" w:sz="0" w:space="0" w:color="auto"/>
                    <w:left w:val="none" w:sz="0" w:space="0" w:color="auto"/>
                    <w:bottom w:val="none" w:sz="0" w:space="0" w:color="auto"/>
                    <w:right w:val="none" w:sz="0" w:space="0" w:color="auto"/>
                  </w:divBdr>
                  <w:divsChild>
                    <w:div w:id="2044595902">
                      <w:marLeft w:val="0"/>
                      <w:marRight w:val="0"/>
                      <w:marTop w:val="0"/>
                      <w:marBottom w:val="0"/>
                      <w:divBdr>
                        <w:top w:val="none" w:sz="0" w:space="0" w:color="auto"/>
                        <w:left w:val="none" w:sz="0" w:space="0" w:color="auto"/>
                        <w:bottom w:val="none" w:sz="0" w:space="0" w:color="auto"/>
                        <w:right w:val="none" w:sz="0" w:space="0" w:color="auto"/>
                      </w:divBdr>
                    </w:div>
                    <w:div w:id="6838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64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1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609848">
      <w:bodyDiv w:val="1"/>
      <w:marLeft w:val="0"/>
      <w:marRight w:val="0"/>
      <w:marTop w:val="0"/>
      <w:marBottom w:val="0"/>
      <w:divBdr>
        <w:top w:val="none" w:sz="0" w:space="0" w:color="auto"/>
        <w:left w:val="none" w:sz="0" w:space="0" w:color="auto"/>
        <w:bottom w:val="none" w:sz="0" w:space="0" w:color="auto"/>
        <w:right w:val="none" w:sz="0" w:space="0" w:color="auto"/>
      </w:divBdr>
      <w:divsChild>
        <w:div w:id="92210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Priyam Baishya</dc:creator>
  <cp:keywords/>
  <dc:description/>
  <cp:lastModifiedBy>Priyam Baishya</cp:lastModifiedBy>
  <cp:revision>4</cp:revision>
  <dcterms:created xsi:type="dcterms:W3CDTF">2025-07-20T07:51:00Z</dcterms:created>
  <dcterms:modified xsi:type="dcterms:W3CDTF">2025-07-20T23:28:00Z</dcterms:modified>
</cp:coreProperties>
</file>