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ЭТАЛОННОЕ ТЗ НА НИР</w:t>
      </w:r>
    </w:p>
    <w:p>
      <w:r>
        <w:br/>
        <w:t>Тема: Реконструкция исторического университетского комплекса Satbayev University (Политех)</w:t>
        <w:br/>
        <w:br/>
        <w:t>1. Общие сведения</w:t>
        <w:br/>
        <w:br/>
        <w:t>1.1. Приоритет:</w:t>
        <w:br/>
        <w:t>Развитие инфраструктуры образования и науки</w:t>
        <w:br/>
        <w:br/>
        <w:t>1.2. Направление:</w:t>
        <w:br/>
        <w:t>Реконструкция и цифровизация образовательной инфраструктуры, сохранение историко-культурного наследия</w:t>
        <w:br/>
        <w:br/>
        <w:t>--------------------------------------------------</w:t>
        <w:br/>
        <w:br/>
        <w:t>2. Цели и задачи программы</w:t>
        <w:br/>
        <w:br/>
        <w:t>2.1. Цель:</w:t>
        <w:br/>
        <w:t>Создание научно обоснованной концепции реконструкции исторического кампуса Satbayev University с сохранением архитектурного наследия и внедрением современных образовательных и цифровых технологий.</w:t>
        <w:br/>
        <w:br/>
        <w:t>2.2. Задачи:</w:t>
        <w:br/>
        <w:t>- анализ текущего состояния зданий и инфраструктуры;</w:t>
        <w:br/>
        <w:t>- разработка архитектурной концепции реконструкции;</w:t>
        <w:br/>
        <w:t>- создание цифровой модели (BIM) кампуса;</w:t>
        <w:br/>
        <w:t>- разработка решений по энергоэффективности;</w:t>
        <w:br/>
        <w:t>- интеграция «умного кампуса» (IoT, безопасность, управление);</w:t>
        <w:br/>
        <w:t>- разработка нормативных и методических рекомендаций;</w:t>
        <w:br/>
        <w:t>- апробация решений на пилотных объектах.</w:t>
        <w:br/>
        <w:br/>
        <w:t>--------------------------------------------------</w:t>
        <w:br/>
        <w:br/>
        <w:t>3. Соответствие стратегическим документам</w:t>
        <w:br/>
        <w:br/>
        <w:t>Проект соответствует:</w:t>
        <w:br/>
        <w:t>- Стратегии «Казахстан-2050»;</w:t>
        <w:br/>
        <w:t>- Государственной программе развития образования;</w:t>
        <w:br/>
        <w:t>- Концепции цифровизации экономики;</w:t>
        <w:br/>
        <w:t>- Программам сохранения историко-культурного наследия.</w:t>
        <w:br/>
        <w:br/>
        <w:t>--------------------------------------------------</w:t>
        <w:br/>
        <w:br/>
        <w:t>4. Ожидаемые результаты</w:t>
        <w:br/>
        <w:br/>
        <w:t>4.1 Прямые результаты:</w:t>
        <w:br/>
        <w:t>- разработанная концепция реконструкции;</w:t>
        <w:br/>
        <w:t>- BIM-модель кампуса;</w:t>
        <w:br/>
        <w:t>- проектно-техническая документация;</w:t>
        <w:br/>
        <w:t>- не менее 5 научных публикаций;</w:t>
        <w:br/>
        <w:t>- рекомендации по внедрению «умного кампуса».</w:t>
        <w:br/>
        <w:br/>
        <w:t>4.2 Косвенные результаты:</w:t>
        <w:br/>
        <w:t>- повышение энергоэффективности зданий на 20%;</w:t>
        <w:br/>
        <w:t>- улучшение условий обучения;</w:t>
        <w:br/>
        <w:t>- сохранение исторического облика;</w:t>
        <w:br/>
        <w:t>- повышение привлекательности университета.</w:t>
        <w:br/>
        <w:br/>
        <w:t>--------------------------------------------------</w:t>
        <w:br/>
        <w:br/>
        <w:t>5. Этапы реализации</w:t>
        <w:br/>
        <w:br/>
        <w:t>Этап 1 (1 год):</w:t>
        <w:br/>
        <w:t>- обследование и анализ</w:t>
        <w:br/>
        <w:br/>
        <w:t>Этап 2 (2 год):</w:t>
        <w:br/>
        <w:t>- проектирование и моделирование</w:t>
        <w:br/>
        <w:br/>
        <w:t>Этап 3 (3 год):</w:t>
        <w:br/>
        <w:t>- внедрение и апробация</w:t>
        <w:br/>
        <w:br/>
        <w:t>--------------------------------------------------</w:t>
        <w:br/>
        <w:br/>
        <w:t>6. KPI</w:t>
        <w:br/>
        <w:br/>
        <w:t>- снижение энергопотребления: ≥20%</w:t>
        <w:br/>
        <w:t>- цифровизация объектов: ≥70%</w:t>
        <w:br/>
        <w:t>- публикации: ≥5</w:t>
        <w:br/>
        <w:t>- внедренные решения: ≥3</w:t>
        <w:br/>
        <w:t>- удовлетворенность пользователей: ≥80%</w:t>
        <w:br/>
        <w:br/>
        <w:t>--------------------------------------------------</w:t>
        <w:br/>
        <w:br/>
        <w:t>7. Риски и меры</w:t>
        <w:br/>
        <w:br/>
        <w:t>Риски:</w:t>
        <w:br/>
        <w:t>- ограничение финансирования;</w:t>
        <w:br/>
        <w:t>- сложности с сохранением архитектуры;</w:t>
        <w:br/>
        <w:t>- технические ограничения старых зданий;</w:t>
        <w:br/>
        <w:t>- сопротивление изменениям.</w:t>
        <w:br/>
        <w:br/>
        <w:t>Меры:</w:t>
        <w:br/>
        <w:t>- поэтапное финансирование;</w:t>
        <w:br/>
        <w:t>- участие экспертов по наследию;</w:t>
        <w:br/>
        <w:t>- использование современных технологий реконструкции;</w:t>
        <w:br/>
        <w:t>- обучение персонала.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