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2744"/>
          <w:sz w:val="44"/>
        </w:rPr>
        <w:t>GRUPO NETUNO</w:t>
      </w:r>
    </w:p>
    <w:p>
      <w:pPr>
        <w:jc w:val="center"/>
      </w:pPr>
      <w:r>
        <w:rPr>
          <w:rFonts w:ascii="Calibri" w:hAnsi="Calibri"/>
          <w:b/>
          <w:color w:val="00ACAD"/>
          <w:sz w:val="20"/>
        </w:rPr>
        <w:t>Inteligência de Mercado</w:t>
      </w:r>
    </w:p>
    <w:p>
      <w:r>
        <w:rPr>
          <w:color w:val="00ACAD"/>
        </w:rPr>
        <w:t>______________________________________________________________________</w:t>
      </w:r>
    </w:p>
    <w:p>
      <w:pPr>
        <w:jc w:val="center"/>
      </w:pPr>
      <w:r>
        <w:rPr>
          <w:rFonts w:ascii="Calibri" w:hAnsi="Calibri"/>
          <w:b/>
          <w:color w:val="1A2744"/>
          <w:sz w:val="32"/>
        </w:rPr>
        <w:t>Boletim Diário de Mercado</w:t>
      </w:r>
    </w:p>
    <w:p>
      <w:pPr>
        <w:jc w:val="center"/>
      </w:pPr>
      <w:r>
        <w:rPr>
          <w:rFonts w:ascii="Calibri" w:hAnsi="Calibri"/>
          <w:color w:val="6C757D"/>
          <w:sz w:val="20"/>
        </w:rPr>
        <w:t>08 de Março de 2026 • 20:30 (Brasília)</w:t>
      </w:r>
    </w:p>
    <w:p/>
    <w:p>
      <w:pPr>
        <w:pStyle w:val="Heading2"/>
      </w:pPr>
      <w:r>
        <w:t>DESTAQUES DO DIA</w:t>
      </w:r>
    </w:p>
    <w:p>
      <w:r>
        <w:rPr>
          <w:rFonts w:ascii="Calibri" w:hAnsi="Calibri"/>
          <w:b/>
          <w:color w:val="00ACAD"/>
          <w:sz w:val="22"/>
        </w:rPr>
        <w:t>🌎 Internacional</w:t>
      </w:r>
    </w:p>
    <w:p>
      <w:pPr>
        <w:pStyle w:val="ListBullet"/>
      </w:pPr>
      <w:hyperlink r:id="rId9">
        <w:r>
          <w:rPr>
            <w:color w:val="0066CC"/>
            <w:u w:val="single"/>
            <w:sz w:val="20"/>
          </w:rPr>
          <w:t xml:space="preserve">Petróleo ultrapassa US$ 110 enquanto conflito no Oriente Médio interrompe fornecimento e transporte</w:t>
        </w:r>
      </w:hyperlink>
      <w:r>
        <w:rPr>
          <w:rFonts w:ascii="Calibri" w:hAnsi="Calibri"/>
          <w:color w:val="6C757D"/>
          <w:sz w:val="16"/>
        </w:rPr>
        <w:t xml:space="preserve">  — Breaking News on Seeking Alpha</w:t>
      </w:r>
    </w:p>
    <w:p>
      <w:pPr>
        <w:pStyle w:val="ListBullet"/>
      </w:pPr>
      <w:hyperlink r:id="rId10">
        <w:r>
          <w:rPr>
            <w:color w:val="0066CC"/>
            <w:u w:val="single"/>
            <w:sz w:val="20"/>
          </w:rPr>
          <w:t xml:space="preserve">Prévia dos ganhos do quarto trimestre de 2025 da Voyager Technologies, Inc.</w:t>
        </w:r>
      </w:hyperlink>
      <w:r>
        <w:rPr>
          <w:rFonts w:ascii="Calibri" w:hAnsi="Calibri"/>
          <w:color w:val="6C757D"/>
          <w:sz w:val="16"/>
        </w:rPr>
        <w:t xml:space="preserve">  — Breaking News on Seeking Alpha</w:t>
      </w:r>
    </w:p>
    <w:p>
      <w:pPr>
        <w:pStyle w:val="ListBullet"/>
      </w:pPr>
      <w:hyperlink r:id="rId11">
        <w:r>
          <w:rPr>
            <w:color w:val="0066CC"/>
            <w:u w:val="single"/>
            <w:sz w:val="20"/>
          </w:rPr>
          <w:t xml:space="preserve">Prévia dos ganhos do quarto trimestre de 2025 da FreightCar America</w:t>
        </w:r>
      </w:hyperlink>
      <w:r>
        <w:rPr>
          <w:rFonts w:ascii="Calibri" w:hAnsi="Calibri"/>
          <w:color w:val="6C757D"/>
          <w:sz w:val="16"/>
        </w:rPr>
        <w:t xml:space="preserve">  — Breaking News on Seeking Alpha</w:t>
      </w:r>
    </w:p>
    <w:p>
      <w:r>
        <w:rPr>
          <w:rFonts w:ascii="Calibri" w:hAnsi="Calibri"/>
          <w:b/>
          <w:color w:val="00ACAD"/>
          <w:sz w:val="22"/>
        </w:rPr>
        <w:t>🇧🇷 Brasil</w:t>
      </w:r>
    </w:p>
    <w:p>
      <w:pPr>
        <w:pStyle w:val="ListBullet"/>
      </w:pPr>
      <w:hyperlink r:id="rId12">
        <w:r>
          <w:rPr>
            <w:color w:val="0066CC"/>
            <w:u w:val="single"/>
            <w:sz w:val="20"/>
          </w:rPr>
          <w:t xml:space="preserve">Esqui indoor cresce na Faria Lima</w:t>
        </w:r>
      </w:hyperlink>
      <w:r>
        <w:rPr>
          <w:rFonts w:ascii="Calibri" w:hAnsi="Calibri"/>
          <w:color w:val="6C757D"/>
          <w:sz w:val="16"/>
        </w:rPr>
        <w:t xml:space="preserve">  — Bloomberg Línea BR</w:t>
      </w:r>
    </w:p>
    <w:p>
      <w:pPr>
        <w:pStyle w:val="ListBullet"/>
      </w:pPr>
      <w:hyperlink r:id="rId13">
        <w:r>
          <w:rPr>
            <w:color w:val="0066CC"/>
            <w:u w:val="single"/>
            <w:sz w:val="20"/>
          </w:rPr>
          <w:t xml:space="preserve">Ibovespa cai quase 1% com guerra no Irã no radar; dólar sobe a R$ 5,31</w:t>
        </w:r>
      </w:hyperlink>
      <w:r>
        <w:rPr>
          <w:rFonts w:ascii="Calibri" w:hAnsi="Calibri"/>
          <w:color w:val="6C757D"/>
          <w:sz w:val="16"/>
        </w:rPr>
        <w:t xml:space="preserve">  — Bloomberg Línea BR</w:t>
      </w:r>
    </w:p>
    <w:p>
      <w:pPr>
        <w:pStyle w:val="ListBullet"/>
      </w:pPr>
      <w:hyperlink r:id="rId14">
        <w:r>
          <w:rPr>
            <w:color w:val="0066CC"/>
            <w:u w:val="single"/>
            <w:sz w:val="20"/>
          </w:rPr>
          <w:t xml:space="preserve">Crise no Oriente Médio trava fluxo de petróleo e gera temor de choque energético global</w:t>
        </w:r>
      </w:hyperlink>
      <w:r>
        <w:rPr>
          <w:rFonts w:ascii="Calibri" w:hAnsi="Calibri"/>
          <w:color w:val="6C757D"/>
          <w:sz w:val="16"/>
        </w:rPr>
        <w:t xml:space="preserve">  — Bloomberg Línea BR</w:t>
      </w:r>
    </w:p>
    <w:p>
      <w:r>
        <w:rPr>
          <w:rFonts w:ascii="Calibri" w:hAnsi="Calibri"/>
          <w:b/>
          <w:color w:val="00ACAD"/>
          <w:sz w:val="22"/>
        </w:rPr>
        <w:t>🏢 Empresas</w:t>
      </w:r>
    </w:p>
    <w:p>
      <w:pPr>
        <w:pStyle w:val="ListBullet"/>
      </w:pPr>
      <w:hyperlink r:id="rId15">
        <w:r>
          <w:rPr>
            <w:color w:val="0066CC"/>
            <w:u w:val="single"/>
            <w:sz w:val="20"/>
          </w:rPr>
          <w:t xml:space="preserve">Central de resultados</w:t>
        </w:r>
      </w:hyperlink>
      <w:r>
        <w:rPr>
          <w:rFonts w:ascii="Calibri" w:hAnsi="Calibri"/>
          <w:color w:val="6C757D"/>
          <w:sz w:val="16"/>
        </w:rPr>
        <w:t xml:space="preserve">  — Valor Econômico</w:t>
      </w:r>
    </w:p>
    <w:p>
      <w:pPr>
        <w:pStyle w:val="ListBullet"/>
      </w:pPr>
      <w:hyperlink r:id="rId16">
        <w:r>
          <w:rPr>
            <w:color w:val="0066CC"/>
            <w:u w:val="single"/>
            <w:sz w:val="20"/>
          </w:rPr>
          <w:t xml:space="preserve">Valor Empresas 360 - Indicadores, ações e notícias das empresas brasileiras</w:t>
        </w:r>
      </w:hyperlink>
      <w:r>
        <w:rPr>
          <w:rFonts w:ascii="Calibri" w:hAnsi="Calibri"/>
          <w:color w:val="6C757D"/>
          <w:sz w:val="16"/>
        </w:rPr>
        <w:t xml:space="preserve">  — Valor Econômico</w:t>
      </w:r>
    </w:p>
    <w:p>
      <w:pPr>
        <w:pStyle w:val="ListBullet"/>
      </w:pPr>
      <w:hyperlink r:id="rId17">
        <w:r>
          <w:rPr>
            <w:color w:val="0066CC"/>
            <w:u w:val="single"/>
            <w:sz w:val="20"/>
          </w:rPr>
          <w:t xml:space="preserve">OPINIÃO. Intolerância: o novo risco estrutural das economias - Brazil Journal</w:t>
        </w:r>
      </w:hyperlink>
      <w:r>
        <w:rPr>
          <w:rFonts w:ascii="Calibri" w:hAnsi="Calibri"/>
          <w:color w:val="6C757D"/>
          <w:sz w:val="16"/>
        </w:rPr>
        <w:t xml:space="preserve">  — Brazil Journal</w:t>
      </w:r>
    </w:p>
    <w:p/>
    <w:p>
      <w:pPr>
        <w:pStyle w:val="Heading2"/>
      </w:pPr>
      <w:r>
        <w:t>💡 INSIGHTS DO MERCADO</w:t>
      </w:r>
    </w:p>
    <w:p>
      <w:pPr>
        <w:pStyle w:val="ListBullet"/>
      </w:pPr>
      <w:r>
        <w:rPr>
          <w:rFonts w:ascii="Calibri" w:hAnsi="Calibri"/>
          <w:sz w:val="20"/>
        </w:rPr>
        <w:t>Futuros de S&amp;P 500 recuam -1,59%, indicando cautela nos mercados globais</w:t>
      </w:r>
    </w:p>
    <w:p>
      <w:pPr>
        <w:pStyle w:val="ListBullet"/>
      </w:pPr>
      <w:r>
        <w:rPr>
          <w:rFonts w:ascii="Calibri" w:hAnsi="Calibri"/>
          <w:sz w:val="20"/>
        </w:rPr>
        <w:t>Dólar avança +0,03% e é negociado a R$ 5,27</w:t>
      </w:r>
    </w:p>
    <w:p>
      <w:pPr>
        <w:pStyle w:val="ListBullet"/>
      </w:pPr>
      <w:r>
        <w:rPr>
          <w:rFonts w:ascii="Calibri" w:hAnsi="Calibri"/>
          <w:sz w:val="20"/>
        </w:rPr>
        <w:t>Petróleo WTI sobe +17,49%, influenciando setor de commodities</w:t>
      </w:r>
    </w:p>
    <w:p>
      <w:pPr>
        <w:pStyle w:val="ListBullet"/>
      </w:pPr>
      <w:r>
        <w:rPr>
          <w:rFonts w:ascii="Calibri" w:hAnsi="Calibri"/>
          <w:sz w:val="20"/>
        </w:rPr>
        <w:t>Bitcoin recua -1,09% e é negociado a US$ 66.518</w:t>
      </w:r>
    </w:p>
    <w:p/>
    <w:p>
      <w:pPr>
        <w:pStyle w:val="Heading2"/>
      </w:pPr>
      <w:r>
        <w:t>RADAR DE ABERTURA DE MERCADO</w:t>
      </w:r>
    </w:p>
    <w:p>
      <w:r>
        <w:rPr>
          <w:b/>
          <w:color w:val="00ACAD"/>
          <w:sz w:val="22"/>
        </w:rPr>
        <w:t>🇧🇷 Brasil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535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Notícia</w:t>
            </w:r>
          </w:p>
        </w:tc>
        <w:tc>
          <w:tcPr>
            <w:tcW w:type="dxa" w:w="1417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Consenso</w:t>
            </w:r>
          </w:p>
        </w:tc>
        <w:tc>
          <w:tcPr>
            <w:tcW w:type="dxa" w:w="1701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Alvo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Petrobras (PETR4)</w:t>
            </w:r>
          </w:p>
        </w:tc>
        <w:tc>
          <w:tcPr>
            <w:tcW w:type="dxa" w:w="4535"/>
          </w:tcPr>
          <w:p>
            <w:r/>
            <w:hyperlink r:id="rId18">
              <w:r>
                <w:rPr>
                  <w:color w:val="0066CC"/>
                  <w:u w:val="single"/>
                  <w:sz w:val="20"/>
                </w:rPr>
                <w:t xml:space="preserve">Petrobras (PBR) Reports 2025 Results Amid 14% Brent Drop as Output Hits 1M BPD M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Insider Monkey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R$ 42,58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Vale (VALE3)</w:t>
            </w:r>
          </w:p>
        </w:tc>
        <w:tc>
          <w:tcPr>
            <w:tcW w:type="dxa" w:w="4535"/>
          </w:tcPr>
          <w:p>
            <w:r/>
            <w:hyperlink r:id="rId19">
              <w:r>
                <w:rPr>
                  <w:color w:val="0066CC"/>
                  <w:u w:val="single"/>
                  <w:sz w:val="20"/>
                </w:rPr>
                <w:t xml:space="preserve">How The Vale (BOVESPA:VALE3) Story Is Shifting From Iron Ore To Copper Potential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Simply Wall St.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R$ 88,97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Itaú Unibanco (ITUB4)</w:t>
            </w:r>
          </w:p>
        </w:tc>
        <w:tc>
          <w:tcPr>
            <w:tcW w:type="dxa" w:w="4535"/>
          </w:tcPr>
          <w:p>
            <w:r/>
            <w:hyperlink r:id="rId20">
              <w:r>
                <w:rPr>
                  <w:color w:val="0066CC"/>
                  <w:u w:val="single"/>
                  <w:sz w:val="20"/>
                </w:rPr>
                <w:t xml:space="preserve">BCS or ITUB: Which Is the Better Value Stock Right Now?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Zacks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R$ 47,46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Bradesco (BBDC4)</w:t>
            </w:r>
          </w:p>
        </w:tc>
        <w:tc>
          <w:tcPr>
            <w:tcW w:type="dxa" w:w="4535"/>
          </w:tcPr>
          <w:p>
            <w:r/>
            <w:hyperlink r:id="rId21">
              <w:r>
                <w:rPr>
                  <w:color w:val="0066CC"/>
                  <w:u w:val="single"/>
                  <w:sz w:val="20"/>
                </w:rPr>
                <w:t xml:space="preserve">Banco Bradesco (BBD) Reports 26.1% Growth in 2025 Recurring Net Income to BRL 24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Insider Monkey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R$ 21,85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Banco do Brasil (BBAS3)</w:t>
            </w:r>
          </w:p>
        </w:tc>
        <w:tc>
          <w:tcPr>
            <w:tcW w:type="dxa" w:w="4535"/>
          </w:tcPr>
          <w:p>
            <w:r/>
            <w:hyperlink r:id="rId22">
              <w:r>
                <w:rPr>
                  <w:color w:val="0066CC"/>
                  <w:u w:val="single"/>
                  <w:sz w:val="20"/>
                </w:rPr>
                <w:t xml:space="preserve">Banco do Brasil launches Pix payment feature in Argentina, eyes expansion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Reuters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Neutro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R$ 26,86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WEG (WEGE3)</w:t>
            </w:r>
          </w:p>
        </w:tc>
        <w:tc>
          <w:tcPr>
            <w:tcW w:type="dxa" w:w="4535"/>
          </w:tcPr>
          <w:p>
            <w:r/>
            <w:hyperlink r:id="rId23">
              <w:r>
                <w:rPr>
                  <w:color w:val="0066CC"/>
                  <w:u w:val="single"/>
                  <w:sz w:val="20"/>
                </w:rPr>
                <w:t xml:space="preserve">How The WEG (BOVESPA:WEGE3) Investment Story Is Shifting After JPMorgan’s Target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Simply Wall St.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Neutro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R$ 52,89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Ambev (ABEV3)</w:t>
            </w:r>
          </w:p>
        </w:tc>
        <w:tc>
          <w:tcPr>
            <w:tcW w:type="dxa" w:w="4535"/>
          </w:tcPr>
          <w:p>
            <w:r/>
            <w:hyperlink r:id="rId24">
              <w:r>
                <w:rPr>
                  <w:color w:val="0066CC"/>
                  <w:u w:val="single"/>
                  <w:sz w:val="20"/>
                </w:rPr>
                <w:t xml:space="preserve">Barclays Retains an Equal Weight Rating on Ambev S.A. (ABEV)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Insider Monkey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Neutro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R$ 15,09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Suzano (SUZB3)</w:t>
            </w:r>
          </w:p>
        </w:tc>
        <w:tc>
          <w:tcPr>
            <w:tcW w:type="dxa" w:w="4535"/>
          </w:tcPr>
          <w:p>
            <w:r/>
            <w:hyperlink r:id="rId25">
              <w:r>
                <w:rPr>
                  <w:color w:val="0066CC"/>
                  <w:u w:val="single"/>
                  <w:sz w:val="20"/>
                </w:rPr>
                <w:t xml:space="preserve">SUZ vs. KLBAY: Which Stock Is the Better Value Option?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Zacks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R$ 70,56</w:t>
            </w:r>
          </w:p>
        </w:tc>
      </w:tr>
    </w:tbl>
    <w:p>
      <w:r>
        <w:rPr>
          <w:b/>
          <w:color w:val="00ACAD"/>
          <w:sz w:val="22"/>
        </w:rPr>
        <w:t>🇺🇸 EUA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535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Notícia</w:t>
            </w:r>
          </w:p>
        </w:tc>
        <w:tc>
          <w:tcPr>
            <w:tcW w:type="dxa" w:w="1417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Consenso</w:t>
            </w:r>
          </w:p>
        </w:tc>
        <w:tc>
          <w:tcPr>
            <w:tcW w:type="dxa" w:w="1701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Alvo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Apple (AAPL)</w:t>
            </w:r>
          </w:p>
        </w:tc>
        <w:tc>
          <w:tcPr>
            <w:tcW w:type="dxa" w:w="4535"/>
          </w:tcPr>
          <w:p>
            <w:r/>
            <w:hyperlink r:id="rId26">
              <w:r>
                <w:rPr>
                  <w:color w:val="0066CC"/>
                  <w:u w:val="single"/>
                  <w:sz w:val="20"/>
                </w:rPr>
                <w:t xml:space="preserve">O comércio de IA ainda ‘tem pernas’: analistas de Wall Street avaliam escolhas d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Yahoo Finance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US$ 292,15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Microsoft (MSFT)</w:t>
            </w:r>
          </w:p>
        </w:tc>
        <w:tc>
          <w:tcPr>
            <w:tcW w:type="dxa" w:w="4535"/>
          </w:tcPr>
          <w:p>
            <w:r/>
            <w:hyperlink r:id="rId26">
              <w:r>
                <w:rPr>
                  <w:color w:val="0066CC"/>
                  <w:u w:val="single"/>
                  <w:sz w:val="20"/>
                </w:rPr>
                <w:t xml:space="preserve">O comércio de IA ainda ‘tem pernas’: analistas de Wall Street avaliam escolhas d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Yahoo Finance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US$ 596,00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Nvidia (NVDA)</w:t>
            </w:r>
          </w:p>
        </w:tc>
        <w:tc>
          <w:tcPr>
            <w:tcW w:type="dxa" w:w="4535"/>
          </w:tcPr>
          <w:p>
            <w:r/>
            <w:hyperlink r:id="rId27">
              <w:r>
                <w:rPr>
                  <w:color w:val="0066CC"/>
                  <w:u w:val="single"/>
                  <w:sz w:val="20"/>
                </w:rPr>
                <w:t xml:space="preserve">Melhor estoque para comprar agora: Microsoft ou Netflix?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Motley Fool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US$ 265,18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Amazon (AMZN)</w:t>
            </w:r>
          </w:p>
        </w:tc>
        <w:tc>
          <w:tcPr>
            <w:tcW w:type="dxa" w:w="4535"/>
          </w:tcPr>
          <w:p>
            <w:r/>
            <w:hyperlink r:id="rId26">
              <w:r>
                <w:rPr>
                  <w:color w:val="0066CC"/>
                  <w:u w:val="single"/>
                  <w:sz w:val="20"/>
                </w:rPr>
                <w:t xml:space="preserve">O comércio de IA ainda ‘tem pernas’: analistas de Wall Street avaliam escolhas d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Yahoo Finance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US$ 280,47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Tesla (TSLA)</w:t>
            </w:r>
          </w:p>
        </w:tc>
        <w:tc>
          <w:tcPr>
            <w:tcW w:type="dxa" w:w="4535"/>
          </w:tcPr>
          <w:p>
            <w:r/>
            <w:hyperlink r:id="rId28">
              <w:r>
                <w:rPr>
                  <w:color w:val="0066CC"/>
                  <w:u w:val="single"/>
                  <w:sz w:val="20"/>
                </w:rPr>
                <w:t xml:space="preserve">F-150 Lightning superou o Cybertruck da Tesla, mas o CEO da Ford diz que ‘teria 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Benzinga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Neutro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US$ 421,61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Meta (META)</w:t>
            </w:r>
          </w:p>
        </w:tc>
        <w:tc>
          <w:tcPr>
            <w:tcW w:type="dxa" w:w="4535"/>
          </w:tcPr>
          <w:p>
            <w:r/>
            <w:hyperlink r:id="rId26">
              <w:r>
                <w:rPr>
                  <w:color w:val="0066CC"/>
                  <w:u w:val="single"/>
                  <w:sz w:val="20"/>
                </w:rPr>
                <w:t xml:space="preserve">O comércio de IA ainda ‘tem pernas’: analistas de Wall Street avaliam escolhas d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Yahoo Finance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US$ 862,25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Alphabet (GOOGL)</w:t>
            </w:r>
          </w:p>
        </w:tc>
        <w:tc>
          <w:tcPr>
            <w:tcW w:type="dxa" w:w="4535"/>
          </w:tcPr>
          <w:p>
            <w:r/>
            <w:hyperlink r:id="rId26">
              <w:r>
                <w:rPr>
                  <w:color w:val="0066CC"/>
                  <w:u w:val="single"/>
                  <w:sz w:val="20"/>
                </w:rPr>
                <w:t xml:space="preserve">O comércio de IA ainda ‘tem pernas’: analistas de Wall Street avaliam escolhas d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Yahoo Finance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US$ 376,95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JPMorgan (JPM)</w:t>
            </w:r>
          </w:p>
        </w:tc>
        <w:tc>
          <w:tcPr>
            <w:tcW w:type="dxa" w:w="4535"/>
          </w:tcPr>
          <w:p>
            <w:r/>
            <w:hyperlink r:id="rId29">
              <w:r>
                <w:rPr>
                  <w:color w:val="0066CC"/>
                  <w:u w:val="single"/>
                  <w:sz w:val="20"/>
                </w:rPr>
                <w:t xml:space="preserve">Como a história de investimento do Banco Santander Chile (SNSE:BSANTANDER) está </w:t>
              </w:r>
            </w:hyperlink>
            <w:r>
              <w:rPr>
                <w:rFonts w:ascii="Calibri" w:hAnsi="Calibri"/>
                <w:color w:val="6C757D"/>
                <w:sz w:val="14"/>
              </w:rPr>
              <w:br/>
              <w:t>Simply Wall St.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1A2744"/>
                <w:sz w:val="16"/>
              </w:rPr>
              <w:t>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US$ 344,78</w:t>
            </w:r>
          </w:p>
        </w:tc>
      </w:tr>
    </w:tbl>
    <w:p/>
    <w:p>
      <w:pPr>
        <w:pStyle w:val="Heading2"/>
      </w:pPr>
      <w:r>
        <w:t>📈 COTAÇÕES B3 BRASIL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Ativo</w:t>
            </w:r>
          </w:p>
        </w:tc>
        <w:tc>
          <w:tcPr>
            <w:tcW w:type="dxa" w:w="1417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2268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Preço</w:t>
            </w:r>
          </w:p>
        </w:tc>
        <w:tc>
          <w:tcPr>
            <w:tcW w:type="dxa" w:w="1701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Petrobras PN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PETR4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R$ 42,11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8A745"/>
                <w:sz w:val="18"/>
              </w:rPr>
              <w:t>+3,49%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Vale ON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VALE3</w:t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R$ 78,86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-2,99%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Itaú Unibanco PN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ITUB4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R$ 42,93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-1,33%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Bradesco PN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BBDC4</w:t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R$ 19,55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-1,41%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Banco do Brasil 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BBAS3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R$ 24,75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-1,00%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Ambev ON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ABEV3</w:t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R$ 15,23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-0,39%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WEG 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WEGE3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R$ 46,62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-0,19%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Suzano ON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SUZB3</w:t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R$ 54,92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-1,58%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B3 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B3SA3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R$ 17,24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-1,82%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Gerdau PN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  <w:t>GGBR4</w:t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R$ 18,90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-2,17%</w:t>
            </w:r>
          </w:p>
        </w:tc>
      </w:tr>
    </w:tbl>
    <w:p/>
    <w:p>
      <w:pPr>
        <w:pStyle w:val="Heading2"/>
      </w:pPr>
      <w:r>
        <w:t>🌐 COTAÇÕES MERCADOS GLOBAIS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Ativo</w:t>
            </w:r>
          </w:p>
        </w:tc>
        <w:tc>
          <w:tcPr>
            <w:tcW w:type="dxa" w:w="1417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268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Preço</w:t>
            </w:r>
          </w:p>
        </w:tc>
        <w:tc>
          <w:tcPr>
            <w:tcW w:type="dxa" w:w="1701"/>
            <w:shd w:fill="1A274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$257,46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-1,09%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Microsoft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$408,96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-0,42%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Nvidia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$177,88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-2,94%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Amazon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$213,12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-2,70%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Tesla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$396,73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-2,17%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Meta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$644,86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-2,38%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Alphabet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$298,48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-0,81%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JPMorgan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$289,48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-1,39%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S&amp;P 500 Fut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$6.636,75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-1,59%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Nasdaq Fut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$24.289,25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-1,54%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Euro Stoxx 50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$5.719,90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-1,09%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FTSE 100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$10.284,75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-1,24%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CAC 40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$7.993,49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-0,65%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Nikkei 225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$55.620,84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8A745"/>
                <w:sz w:val="18"/>
              </w:rPr>
              <w:t>+0,62%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WTI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$106,80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8A745"/>
                <w:sz w:val="18"/>
              </w:rPr>
              <w:t>+17,49%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Brent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$107,35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8A745"/>
                <w:sz w:val="18"/>
              </w:rPr>
              <w:t>+15,82%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Ouro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$5.106,70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-1,01%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Bitcoin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$66.518,09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-1,09%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USD/BRL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$5,27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8A745"/>
                <w:sz w:val="18"/>
              </w:rPr>
              <w:t>+0,03%</w:t>
            </w:r>
          </w:p>
        </w:tc>
      </w:tr>
      <w:tr>
        <w:tc>
          <w:tcPr>
            <w:tcW w:type="dxa" w:w="2835"/>
            <w:shd w:fill="F8F9FA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EUR/USD</w:t>
            </w:r>
          </w:p>
        </w:tc>
        <w:tc>
          <w:tcPr>
            <w:tcW w:type="dxa" w:w="1417"/>
            <w:shd w:fill="F8F9FA"/>
          </w:tcPr>
          <w:p>
            <w:r/>
            <w:r>
              <w:rPr>
                <w:rFonts w:ascii="Calibri" w:hAnsi="Calibri"/>
                <w:b w:val="0"/>
                <w:color w:val="6C757D"/>
                <w:sz w:val="16"/>
              </w:rPr>
            </w:r>
          </w:p>
        </w:tc>
        <w:tc>
          <w:tcPr>
            <w:tcW w:type="dxa" w:w="2268"/>
            <w:shd w:fill="F8F9FA"/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$1,15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3545"/>
                <w:sz w:val="18"/>
              </w:rPr>
              <w:t>-0,71%</w:t>
            </w:r>
          </w:p>
        </w:tc>
      </w:tr>
    </w:tbl>
    <w:p/>
    <w:p>
      <w:r>
        <w:rPr>
          <w:color w:val="00ACAD"/>
        </w:rPr>
        <w:t>______________________________________________________________________</w:t>
      </w:r>
    </w:p>
    <w:p>
      <w:pPr>
        <w:jc w:val="center"/>
      </w:pPr>
      <w:r>
        <w:rPr>
          <w:rFonts w:ascii="Calibri" w:hAnsi="Calibri"/>
          <w:i/>
          <w:color w:val="6C757D"/>
          <w:sz w:val="16"/>
        </w:rPr>
        <w:t>Grupo Netuno | R2F Capital</w:t>
        <w:br/>
        <w:t>Este boletim é produzido automaticamente com informações de fontes públicas confiáveis.</w:t>
        <w:br/>
        <w:t>As informações não constituem recomendação de investimento.</w:t>
        <w:br/>
        <w:br/>
        <w:t>Fontes: InfoMoney, Valor Investe, Exame, Bloomberg, Reuters, FT, Seeking Alpha, Brazil Journal, Yahoo Finance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7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7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7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ekingalpha.com/news/4562106-oil-surges-past-110-as-middle-east-conflict-disrupts-supply-shipping?utm_source=feed_news_all&amp;utm_medium=referral&amp;feed_item_type=news" TargetMode="External"/><Relationship Id="rId10" Type="http://schemas.openxmlformats.org/officeDocument/2006/relationships/hyperlink" Target="https://seekingalpha.com/news/4561991-voyager-technologies-inc-q4-2025-earnings-preview?utm_source=feed_news_all&amp;utm_medium=referral&amp;feed_item_type=news" TargetMode="External"/><Relationship Id="rId11" Type="http://schemas.openxmlformats.org/officeDocument/2006/relationships/hyperlink" Target="https://seekingalpha.com/news/4561992-freightcar-america-q4-2025-earnings-preview?utm_source=feed_news_all&amp;utm_medium=referral&amp;feed_item_type=news" TargetMode="External"/><Relationship Id="rId12" Type="http://schemas.openxmlformats.org/officeDocument/2006/relationships/hyperlink" Target="https://www.bloomberglinea.com.br/mercados/esqui-indoor-cresce-na-faria-lima/" TargetMode="External"/><Relationship Id="rId13" Type="http://schemas.openxmlformats.org/officeDocument/2006/relationships/hyperlink" Target="https://www.bloomberglinea.com.br/mercados/ibovespa-cai-quase-1-com-guerra-no-ira-no-radar-dolar-sobe-a-r-531/" TargetMode="External"/><Relationship Id="rId14" Type="http://schemas.openxmlformats.org/officeDocument/2006/relationships/hyperlink" Target="https://www.bloomberglinea.com.br/mercados/crise-no-oriente-medio-trava-fluxo-de-petroleo-e-gera-temor-de-choque-energetico-global/" TargetMode="External"/><Relationship Id="rId15" Type="http://schemas.openxmlformats.org/officeDocument/2006/relationships/hyperlink" Target="https://valor.globo.com/empresas/valor-empresas-360/central-de-resultados/" TargetMode="External"/><Relationship Id="rId16" Type="http://schemas.openxmlformats.org/officeDocument/2006/relationships/hyperlink" Target="https://valor.globo.com/empresas/valor-empresas-360/" TargetMode="External"/><Relationship Id="rId17" Type="http://schemas.openxmlformats.org/officeDocument/2006/relationships/hyperlink" Target="https://braziljournal.com/opiniao-intolerancia-o-novo-risco-estrutural-das-economias/" TargetMode="External"/><Relationship Id="rId18" Type="http://schemas.openxmlformats.org/officeDocument/2006/relationships/hyperlink" Target="https://finance.yahoo.com/news/petrobras-pbr-reports-2025-results-160125387.html" TargetMode="External"/><Relationship Id="rId19" Type="http://schemas.openxmlformats.org/officeDocument/2006/relationships/hyperlink" Target="https://finance.yahoo.com/news/vale-bovespa-vale3-story-shifting-190740940.html" TargetMode="External"/><Relationship Id="rId20" Type="http://schemas.openxmlformats.org/officeDocument/2006/relationships/hyperlink" Target="https://finance.yahoo.com/news/bcs-itub-better-value-stock-164002259.html" TargetMode="External"/><Relationship Id="rId21" Type="http://schemas.openxmlformats.org/officeDocument/2006/relationships/hyperlink" Target="https://finance.yahoo.com/news/banco-bradesco-bbd-reports-26-143519873.html" TargetMode="External"/><Relationship Id="rId22" Type="http://schemas.openxmlformats.org/officeDocument/2006/relationships/hyperlink" Target="https://finance.yahoo.com/news/banco-brasil-launches-pix-payment-143845308.html" TargetMode="External"/><Relationship Id="rId23" Type="http://schemas.openxmlformats.org/officeDocument/2006/relationships/hyperlink" Target="https://finance.yahoo.com/news/weg-bovespa-wege3-investment-story-160715542.html" TargetMode="External"/><Relationship Id="rId24" Type="http://schemas.openxmlformats.org/officeDocument/2006/relationships/hyperlink" Target="https://finance.yahoo.com/news/barclays-retains-equal-weight-rating-152217026.html" TargetMode="External"/><Relationship Id="rId25" Type="http://schemas.openxmlformats.org/officeDocument/2006/relationships/hyperlink" Target="https://finance.yahoo.com/news/suz-vs-klbay-stock-better-164002456.html" TargetMode="External"/><Relationship Id="rId26" Type="http://schemas.openxmlformats.org/officeDocument/2006/relationships/hyperlink" Target="https://finance.yahoo.com/news/the-ai-trade-still-has-legs-wall-street-analysts-weigh-tech-stock-picks-amid-market-sell-off-140003840.html" TargetMode="External"/><Relationship Id="rId27" Type="http://schemas.openxmlformats.org/officeDocument/2006/relationships/hyperlink" Target="https://finance.yahoo.com/news/better-stock-buy-now-microsoft-232500867.html" TargetMode="External"/><Relationship Id="rId28" Type="http://schemas.openxmlformats.org/officeDocument/2006/relationships/hyperlink" Target="https://finance.yahoo.com/news/f-150-lightning-outsold-teslas-220039312.html" TargetMode="External"/><Relationship Id="rId29" Type="http://schemas.openxmlformats.org/officeDocument/2006/relationships/hyperlink" Target="https://finance.yahoo.com/news/investment-story-banco-santander-chile-17094668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