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pPr>
      <w:bookmarkStart w:colFirst="0" w:colLast="0" w:name="_gjdgxs" w:id="0"/>
      <w:bookmarkEnd w:id="0"/>
      <w:r w:rsidDel="00000000" w:rsidR="00000000" w:rsidRPr="00000000">
        <w:rPr>
          <w:b w:val="1"/>
          <w:sz w:val="32"/>
          <w:szCs w:val="32"/>
          <w:rtl w:val="0"/>
        </w:rPr>
        <w:t xml:space="preserve">Supplementary Table S1: Command line options of each tools used for the sequencing data calling</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325"/>
        <w:tblGridChange w:id="0">
          <w:tblGrid>
            <w:gridCol w:w="3675"/>
            <w:gridCol w:w="532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2">
            <w:pPr>
              <w:spacing w:line="240" w:lineRule="auto"/>
              <w:jc w:val="center"/>
              <w:rPr>
                <w:b w:val="1"/>
                <w:sz w:val="24"/>
                <w:szCs w:val="24"/>
              </w:rPr>
            </w:pPr>
            <w:r w:rsidDel="00000000" w:rsidR="00000000" w:rsidRPr="00000000">
              <w:rPr>
                <w:b w:val="1"/>
                <w:sz w:val="24"/>
                <w:szCs w:val="24"/>
                <w:rtl w:val="0"/>
              </w:rPr>
              <w:t xml:space="preserve">Tool</w:t>
            </w:r>
          </w:p>
        </w:tc>
        <w:tc>
          <w:tcPr>
            <w:shd w:fill="d9d9d9" w:val="clear"/>
            <w:tcMar>
              <w:top w:w="100.0" w:type="dxa"/>
              <w:left w:w="100.0" w:type="dxa"/>
              <w:bottom w:w="100.0" w:type="dxa"/>
              <w:right w:w="100.0" w:type="dxa"/>
            </w:tcMar>
          </w:tcPr>
          <w:p w:rsidR="00000000" w:rsidDel="00000000" w:rsidP="00000000" w:rsidRDefault="00000000" w:rsidRPr="00000000" w14:paraId="00000003">
            <w:pPr>
              <w:spacing w:line="240" w:lineRule="auto"/>
              <w:jc w:val="center"/>
              <w:rPr>
                <w:b w:val="1"/>
                <w:sz w:val="24"/>
                <w:szCs w:val="24"/>
              </w:rPr>
            </w:pPr>
            <w:r w:rsidDel="00000000" w:rsidR="00000000" w:rsidRPr="00000000">
              <w:rPr>
                <w:b w:val="1"/>
                <w:sz w:val="24"/>
                <w:szCs w:val="24"/>
                <w:rtl w:val="0"/>
              </w:rPr>
              <w:t xml:space="preserve">Option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GroupReadByUMI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adjacency strategy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spacing w:line="240" w:lineRule="auto"/>
              <w:rPr/>
            </w:pPr>
            <w:r w:rsidDel="00000000" w:rsidR="00000000" w:rsidRPr="00000000">
              <w:rPr>
                <w:sz w:val="24"/>
                <w:szCs w:val="24"/>
                <w:rtl w:val="0"/>
              </w:rPr>
              <w:t xml:space="preserve">CallMolecularConsensus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--cc 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8">
            <w:pPr>
              <w:spacing w:line="240" w:lineRule="auto"/>
              <w:rPr/>
            </w:pPr>
            <w:r w:rsidDel="00000000" w:rsidR="00000000" w:rsidRPr="00000000">
              <w:rPr>
                <w:sz w:val="24"/>
                <w:szCs w:val="24"/>
                <w:rtl w:val="0"/>
              </w:rPr>
              <w:t xml:space="preserve">FilterConsensusRead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-M 1 </w:t>
            </w:r>
          </w:p>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-N 40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rPr/>
            </w:pPr>
            <w:r w:rsidDel="00000000" w:rsidR="00000000" w:rsidRPr="00000000">
              <w:rPr>
                <w:rtl w:val="0"/>
              </w:rPr>
              <w:t xml:space="preserve">BWA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spacing w:line="240" w:lineRule="auto"/>
              <w:rPr/>
            </w:pPr>
            <w:r w:rsidDel="00000000" w:rsidR="00000000" w:rsidRPr="00000000">
              <w:rPr>
                <w:sz w:val="24"/>
                <w:szCs w:val="24"/>
                <w:rtl w:val="0"/>
              </w:rPr>
              <w:t xml:space="preserv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rPr/>
            </w:pPr>
            <w:r w:rsidDel="00000000" w:rsidR="00000000" w:rsidRPr="00000000">
              <w:rPr>
                <w:rtl w:val="0"/>
              </w:rPr>
              <w:t xml:space="preserve">Freebayes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-F 2 </w:t>
            </w:r>
          </w:p>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-C 2 </w:t>
            </w:r>
          </w:p>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--genotype-qualities </w:t>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--pooled-continuous </w:t>
            </w:r>
          </w:p>
          <w:p w:rsidR="00000000" w:rsidDel="00000000" w:rsidP="00000000" w:rsidRDefault="00000000" w:rsidRPr="00000000" w14:paraId="00000012">
            <w:pPr>
              <w:spacing w:line="240" w:lineRule="auto"/>
              <w:rPr/>
            </w:pPr>
            <w:r w:rsidDel="00000000" w:rsidR="00000000" w:rsidRPr="00000000">
              <w:rPr>
                <w:sz w:val="24"/>
                <w:szCs w:val="24"/>
                <w:rtl w:val="0"/>
              </w:rPr>
              <w:t xml:space="preserve">--pooled-discrete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rPr/>
            </w:pPr>
            <w:r w:rsidDel="00000000" w:rsidR="00000000" w:rsidRPr="00000000">
              <w:rPr>
                <w:rtl w:val="0"/>
              </w:rPr>
              <w:t xml:space="preserve">Mutect2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--max-reads-per-alignment-start 0 </w:t>
            </w:r>
          </w:p>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--max-mnp-distance 3 </w:t>
            </w:r>
          </w:p>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--pcr-snv-qual 70 </w:t>
            </w:r>
          </w:p>
          <w:p w:rsidR="00000000" w:rsidDel="00000000" w:rsidP="00000000" w:rsidRDefault="00000000" w:rsidRPr="00000000" w14:paraId="00000017">
            <w:pPr>
              <w:spacing w:line="240" w:lineRule="auto"/>
              <w:rPr/>
            </w:pPr>
            <w:r w:rsidDel="00000000" w:rsidR="00000000" w:rsidRPr="00000000">
              <w:rPr>
                <w:sz w:val="24"/>
                <w:szCs w:val="24"/>
                <w:rtl w:val="0"/>
              </w:rPr>
              <w:t xml:space="preserve">--pcr-indel-qual 70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rPr/>
            </w:pPr>
            <w:r w:rsidDel="00000000" w:rsidR="00000000" w:rsidRPr="00000000">
              <w:rPr>
                <w:rtl w:val="0"/>
              </w:rPr>
              <w:t xml:space="preserve">STAR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--twopassMode Basic</w:t>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--alignSplicedMateMapLminOverLmate 0.5</w:t>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--peOverlapNbasesMin 10</w:t>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--outFilterMultimapNmax 100</w:t>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--outFilterMismatchNmax 33</w:t>
            </w:r>
          </w:p>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--seedSearchStartLmax 12</w:t>
            </w:r>
          </w:p>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--alignSJoverhangMin 15</w:t>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--outFilterMatchNminOverLread 0</w:t>
            </w:r>
          </w:p>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--outFilterScoreMinOverLread 0.3</w:t>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--alignSJDBoverhangMin 1</w:t>
            </w:r>
          </w:p>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--outFilterType BySJout</w:t>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--chimSegmentMin 10</w:t>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--chimOutType WithinBAM SoftClip</w:t>
            </w:r>
          </w:p>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--chimJunctionOverhangMin 10</w:t>
            </w:r>
          </w:p>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--chimScoreDropMax 30</w:t>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--chimScoreJunctionNonGTAG 0</w:t>
            </w:r>
          </w:p>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--chimScoreSeparation 1</w:t>
            </w:r>
          </w:p>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--alignSJstitchMismatchNmax 5 -1 5 5</w:t>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--chimSegmentReadGapMax 3</w:t>
            </w:r>
          </w:p>
          <w:p w:rsidR="00000000" w:rsidDel="00000000" w:rsidP="00000000" w:rsidRDefault="00000000" w:rsidRPr="00000000" w14:paraId="0000002C">
            <w:pPr>
              <w:spacing w:line="240" w:lineRule="auto"/>
              <w:rPr/>
            </w:pPr>
            <w:r w:rsidDel="00000000" w:rsidR="00000000" w:rsidRPr="00000000">
              <w:rPr>
                <w:sz w:val="24"/>
                <w:szCs w:val="24"/>
                <w:rtl w:val="0"/>
              </w:rPr>
              <w:t xml:space="preserve">--chimMultimapNmax 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rPr/>
            </w:pPr>
            <w:r w:rsidDel="00000000" w:rsidR="00000000" w:rsidRPr="00000000">
              <w:rPr>
                <w:rtl w:val="0"/>
              </w:rPr>
              <w:t xml:space="preserve">Arriba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spacing w:line="240" w:lineRule="auto"/>
              <w:rPr/>
            </w:pPr>
            <w:r w:rsidDel="00000000" w:rsidR="00000000" w:rsidRPr="00000000">
              <w:rPr>
                <w:sz w:val="24"/>
                <w:szCs w:val="24"/>
                <w:rtl w:val="0"/>
              </w:rPr>
              <w:t xml:space="preserve">-u with blacklist from original github repository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rPr/>
            </w:pPr>
            <w:r w:rsidDel="00000000" w:rsidR="00000000" w:rsidRPr="00000000">
              <w:rPr>
                <w:rtl w:val="0"/>
              </w:rPr>
              <w:t xml:space="preserve">Minimap2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-ax sr</w:t>
            </w:r>
          </w:p>
        </w:tc>
      </w:tr>
    </w:tbl>
    <w:p w:rsidR="00000000" w:rsidDel="00000000" w:rsidP="00000000" w:rsidRDefault="00000000" w:rsidRPr="00000000" w14:paraId="00000031">
      <w:pPr>
        <w:pStyle w:val="Heading1"/>
        <w:spacing w:line="276" w:lineRule="auto"/>
        <w:rPr/>
      </w:pPr>
      <w:bookmarkStart w:colFirst="0" w:colLast="0" w:name="_30j0zll" w:id="1"/>
      <w:bookmarkEnd w:id="1"/>
      <w:r w:rsidDel="00000000" w:rsidR="00000000" w:rsidRPr="00000000">
        <w:rPr>
          <w:b w:val="1"/>
          <w:sz w:val="32"/>
          <w:szCs w:val="32"/>
          <w:rtl w:val="0"/>
        </w:rPr>
        <w:t xml:space="preserve">Supplementary Table S2: List of features required for drug prioritization</w:t>
      </w:r>
      <w:r w:rsidDel="00000000" w:rsidR="00000000" w:rsidRPr="00000000">
        <w:rPr>
          <w:rtl w:val="0"/>
        </w:rPr>
      </w:r>
    </w:p>
    <w:tbl>
      <w:tblPr>
        <w:tblStyle w:val="Table2"/>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4444362401237"/>
        <w:gridCol w:w="3009.4444362401237"/>
        <w:gridCol w:w="3010.111127519752"/>
        <w:tblGridChange w:id="0">
          <w:tblGrid>
            <w:gridCol w:w="3009.4444362401237"/>
            <w:gridCol w:w="3009.4444362401237"/>
            <w:gridCol w:w="3010.111127519752"/>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Database or tool used</w:t>
            </w:r>
          </w:p>
        </w:tc>
        <w:tc>
          <w:tcPr>
            <w:shd w:fill="d9d9d9"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Description</w:t>
            </w:r>
          </w:p>
        </w:tc>
        <w:tc>
          <w:tcPr>
            <w:shd w:fill="d9d9d9"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Feature</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VEP</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Effect prediction and description of variants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Variant impact</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Variant coordinates (coordinates, exons, codons…)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Pfam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Protein domain 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Protein domain annotation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COSMIC Fusion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Database of gene fusions involved in cancer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Fusion involvement in cancer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Cancer Gene Census (COSMIC)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Annotation of genes involved in cancer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CNV cancer involvement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4">
            <w:pPr>
              <w:spacing w:line="240" w:lineRule="auto"/>
              <w:jc w:val="center"/>
              <w:rPr>
                <w:sz w:val="20"/>
                <w:szCs w:val="20"/>
              </w:rPr>
            </w:pPr>
            <w:r w:rsidDel="00000000" w:rsidR="00000000" w:rsidRPr="00000000">
              <w:rPr>
                <w:rtl w:val="0"/>
              </w:rPr>
              <w:t xml:space="preserve">Laboratory gene panel annotation (COSMIC Gene Census, Vogelstein, Cancermine, ONGene, TCGA, TSGDatabase,  JaxCKB and OncoKB, see Supplementary Figure 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spacing w:line="240" w:lineRule="auto"/>
              <w:jc w:val="center"/>
              <w:rPr/>
            </w:pPr>
            <w:r w:rsidDel="00000000" w:rsidR="00000000" w:rsidRPr="00000000">
              <w:rPr>
                <w:rtl w:val="0"/>
              </w:rPr>
              <w:t xml:space="preserve">Genes of the panel annotated depending on their cancer role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Consensus of Gene Role (oncogene / TSG)</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RefSeq</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Gene and transcript 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Transcript annotation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Last exon annotation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Ensembl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Gene and transcript 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Transcript annotation</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Custom disease ontology</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Cancer ontology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Type of cancer (disease name)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Name of the organ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Liquid tumor or solid tumor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ComPerMed CPV 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List of pathogenic variants according to ComPerMed publication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Pathogenic variant annotation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GnomAD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Population 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Average of all population frequency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ClinVar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Clinical 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ClinVar description: (Likely) pathogenic, unknown, (likely) benign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CIViC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Cancer variant 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CIViC description: (Likely) pathogenic, unknown, (likely) benign </w:t>
            </w:r>
          </w:p>
        </w:tc>
      </w:tr>
      <w:tr>
        <w:trPr>
          <w:cantSplit w:val="0"/>
          <w:trHeight w:val="41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5">
            <w:pPr>
              <w:spacing w:line="240" w:lineRule="auto"/>
              <w:jc w:val="center"/>
              <w:rPr>
                <w:sz w:val="20"/>
                <w:szCs w:val="20"/>
              </w:rPr>
            </w:pPr>
            <w:r w:rsidDel="00000000" w:rsidR="00000000" w:rsidRPr="00000000">
              <w:rPr>
                <w:rtl w:val="0"/>
              </w:rPr>
              <w:t xml:space="preserve">Sift</w:t>
            </w: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6">
            <w:pPr>
              <w:spacing w:line="240" w:lineRule="auto"/>
              <w:jc w:val="center"/>
              <w:rPr/>
            </w:pPr>
            <w:r w:rsidDel="00000000" w:rsidR="00000000" w:rsidRPr="00000000">
              <w:rPr>
                <w:rtl w:val="0"/>
              </w:rPr>
              <w:t xml:space="preserve">Variant predictor</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pPr>
            <w:r w:rsidDel="00000000" w:rsidR="00000000" w:rsidRPr="00000000">
              <w:rPr>
                <w:rtl w:val="0"/>
              </w:rPr>
            </w:r>
          </w:p>
          <w:p w:rsidR="00000000" w:rsidDel="00000000" w:rsidP="00000000" w:rsidRDefault="00000000" w:rsidRPr="00000000" w14:paraId="00000068">
            <w:pPr>
              <w:widowControl w:val="0"/>
              <w:spacing w:line="240" w:lineRule="auto"/>
              <w:jc w:val="center"/>
              <w:rPr/>
            </w:pPr>
            <w:r w:rsidDel="00000000" w:rsidR="00000000" w:rsidRPr="00000000">
              <w:rPr>
                <w:rtl w:val="0"/>
              </w:rPr>
            </w:r>
          </w:p>
          <w:p w:rsidR="00000000" w:rsidDel="00000000" w:rsidP="00000000" w:rsidRDefault="00000000" w:rsidRPr="00000000" w14:paraId="00000069">
            <w:pPr>
              <w:widowControl w:val="0"/>
              <w:spacing w:line="240" w:lineRule="auto"/>
              <w:jc w:val="center"/>
              <w:rPr/>
            </w:pPr>
            <w:r w:rsidDel="00000000" w:rsidR="00000000" w:rsidRPr="00000000">
              <w:rPr>
                <w:rtl w:val="0"/>
              </w:rPr>
            </w:r>
          </w:p>
          <w:p w:rsidR="00000000" w:rsidDel="00000000" w:rsidP="00000000" w:rsidRDefault="00000000" w:rsidRPr="00000000" w14:paraId="0000006A">
            <w:pPr>
              <w:widowControl w:val="0"/>
              <w:spacing w:line="240" w:lineRule="auto"/>
              <w:jc w:val="center"/>
              <w:rPr/>
            </w:pPr>
            <w:r w:rsidDel="00000000" w:rsidR="00000000" w:rsidRPr="00000000">
              <w:rPr>
                <w:rtl w:val="0"/>
              </w:rPr>
            </w:r>
          </w:p>
          <w:p w:rsidR="00000000" w:rsidDel="00000000" w:rsidP="00000000" w:rsidRDefault="00000000" w:rsidRPr="00000000" w14:paraId="0000006B">
            <w:pPr>
              <w:widowControl w:val="0"/>
              <w:spacing w:line="240" w:lineRule="auto"/>
              <w:jc w:val="center"/>
              <w:rPr/>
            </w:pPr>
            <w:r w:rsidDel="00000000" w:rsidR="00000000" w:rsidRPr="00000000">
              <w:rPr>
                <w:rtl w:val="0"/>
              </w:rPr>
            </w:r>
          </w:p>
          <w:p w:rsidR="00000000" w:rsidDel="00000000" w:rsidP="00000000" w:rsidRDefault="00000000" w:rsidRPr="00000000" w14:paraId="0000006C">
            <w:pPr>
              <w:widowControl w:val="0"/>
              <w:spacing w:line="240" w:lineRule="auto"/>
              <w:jc w:val="center"/>
              <w:rPr/>
            </w:pPr>
            <w:r w:rsidDel="00000000" w:rsidR="00000000" w:rsidRPr="00000000">
              <w:rPr>
                <w:rtl w:val="0"/>
              </w:rPr>
            </w:r>
          </w:p>
          <w:p w:rsidR="00000000" w:rsidDel="00000000" w:rsidP="00000000" w:rsidRDefault="00000000" w:rsidRPr="00000000" w14:paraId="0000006D">
            <w:pPr>
              <w:widowControl w:val="0"/>
              <w:spacing w:line="240" w:lineRule="auto"/>
              <w:jc w:val="center"/>
              <w:rPr/>
            </w:pPr>
            <w:r w:rsidDel="00000000" w:rsidR="00000000" w:rsidRPr="00000000">
              <w:rPr>
                <w:rtl w:val="0"/>
              </w:rPr>
            </w:r>
          </w:p>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Impact of the mutation over protein </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spacing w:line="240" w:lineRule="auto"/>
              <w:jc w:val="center"/>
              <w:rPr/>
            </w:pPr>
            <w:r w:rsidDel="00000000" w:rsidR="00000000" w:rsidRPr="00000000">
              <w:rPr>
                <w:rtl w:val="0"/>
              </w:rPr>
              <w:t xml:space="preserve">MutationTaster</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0">
            <w:pPr>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2">
            <w:pPr>
              <w:spacing w:line="240" w:lineRule="auto"/>
              <w:jc w:val="center"/>
              <w:rPr/>
            </w:pPr>
            <w:r w:rsidDel="00000000" w:rsidR="00000000" w:rsidRPr="00000000">
              <w:rPr>
                <w:rtl w:val="0"/>
              </w:rPr>
              <w:t xml:space="preserve">fathmm-MKL</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3">
            <w:pPr>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5">
            <w:pPr>
              <w:spacing w:line="240" w:lineRule="auto"/>
              <w:jc w:val="center"/>
              <w:rPr/>
            </w:pPr>
            <w:r w:rsidDel="00000000" w:rsidR="00000000" w:rsidRPr="00000000">
              <w:rPr>
                <w:rtl w:val="0"/>
              </w:rPr>
              <w:t xml:space="preserve">LRT</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6">
            <w:pPr>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spacing w:line="240" w:lineRule="auto"/>
              <w:jc w:val="center"/>
              <w:rPr/>
            </w:pPr>
            <w:r w:rsidDel="00000000" w:rsidR="00000000" w:rsidRPr="00000000">
              <w:rPr>
                <w:rtl w:val="0"/>
              </w:rPr>
              <w:t xml:space="preserve">MetaLR</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9">
            <w:pPr>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B">
            <w:pPr>
              <w:spacing w:line="240" w:lineRule="auto"/>
              <w:jc w:val="center"/>
              <w:rPr/>
            </w:pPr>
            <w:r w:rsidDel="00000000" w:rsidR="00000000" w:rsidRPr="00000000">
              <w:rPr>
                <w:rtl w:val="0"/>
              </w:rPr>
              <w:t xml:space="preserve">MetaSVM</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C">
            <w:pPr>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E">
            <w:pPr>
              <w:spacing w:line="240" w:lineRule="auto"/>
              <w:jc w:val="center"/>
              <w:rPr/>
            </w:pPr>
            <w:r w:rsidDel="00000000" w:rsidR="00000000" w:rsidRPr="00000000">
              <w:rPr>
                <w:rtl w:val="0"/>
              </w:rPr>
              <w:t xml:space="preserve">PROVEAN</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F">
            <w:pPr>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spacing w:line="240" w:lineRule="auto"/>
              <w:jc w:val="center"/>
              <w:rPr/>
            </w:pPr>
            <w:r w:rsidDel="00000000" w:rsidR="00000000" w:rsidRPr="00000000">
              <w:rPr>
                <w:rtl w:val="0"/>
              </w:rPr>
              <w:t xml:space="preserve">FATHMM</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2">
            <w:pPr>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4">
            <w:pPr>
              <w:spacing w:line="240" w:lineRule="auto"/>
              <w:jc w:val="center"/>
              <w:rPr/>
            </w:pPr>
            <w:r w:rsidDel="00000000" w:rsidR="00000000" w:rsidRPr="00000000">
              <w:rPr>
                <w:rtl w:val="0"/>
              </w:rPr>
              <w:t xml:space="preserve">DANN</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5">
            <w:pPr>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7">
            <w:pPr>
              <w:spacing w:line="240" w:lineRule="auto"/>
              <w:jc w:val="center"/>
              <w:rPr/>
            </w:pPr>
            <w:r w:rsidDel="00000000" w:rsidR="00000000" w:rsidRPr="00000000">
              <w:rPr>
                <w:rtl w:val="0"/>
              </w:rPr>
              <w:t xml:space="preserve">MutationAssessor</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8">
            <w:pPr>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A">
            <w:pPr>
              <w:spacing w:line="240" w:lineRule="auto"/>
              <w:jc w:val="center"/>
              <w:rPr/>
            </w:pPr>
            <w:r w:rsidDel="00000000" w:rsidR="00000000" w:rsidRPr="00000000">
              <w:rPr>
                <w:rtl w:val="0"/>
              </w:rPr>
              <w:t xml:space="preserve">MolecularMatch</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B">
            <w:pPr>
              <w:spacing w:line="240" w:lineRule="auto"/>
              <w:jc w:val="center"/>
              <w:rPr/>
            </w:pPr>
            <w:r w:rsidDel="00000000" w:rsidR="00000000" w:rsidRPr="00000000">
              <w:rPr>
                <w:rtl w:val="0"/>
              </w:rPr>
              <w:t xml:space="preserve">Therapeutic 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Drug name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Clinical evidence tier</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Disease name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Variant coordinates (gene, coordinates, exon and codon)</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6">
            <w:pPr>
              <w:spacing w:line="240" w:lineRule="auto"/>
              <w:jc w:val="center"/>
              <w:rPr/>
            </w:pPr>
            <w:r w:rsidDel="00000000" w:rsidR="00000000" w:rsidRPr="00000000">
              <w:rPr>
                <w:rtl w:val="0"/>
              </w:rPr>
              <w:t xml:space="preserve">CIViC actionability</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7">
            <w:pPr>
              <w:spacing w:line="240" w:lineRule="auto"/>
              <w:jc w:val="center"/>
              <w:rPr/>
            </w:pPr>
            <w:r w:rsidDel="00000000" w:rsidR="00000000" w:rsidRPr="00000000">
              <w:rPr>
                <w:rtl w:val="0"/>
              </w:rPr>
              <w:t xml:space="preserve">Therapeutic 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Drug name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Clinical evidence tier</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Disease name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Variant coordinates (gene, coordinates, exon and codon)</w:t>
            </w:r>
          </w:p>
        </w:tc>
      </w:tr>
    </w:tbl>
    <w:p w:rsidR="00000000" w:rsidDel="00000000" w:rsidP="00000000" w:rsidRDefault="00000000" w:rsidRPr="00000000" w14:paraId="000000A2">
      <w:pPr>
        <w:spacing w:line="276" w:lineRule="auto"/>
        <w:rPr/>
      </w:pPr>
      <w:bookmarkStart w:colFirst="0" w:colLast="0" w:name="_1fob9te" w:id="2"/>
      <w:bookmarkEnd w:id="2"/>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br w:type="page"/>
      </w:r>
      <w:r w:rsidDel="00000000" w:rsidR="00000000" w:rsidRPr="00000000">
        <w:rPr>
          <w:b w:val="1"/>
          <w:sz w:val="32"/>
          <w:szCs w:val="32"/>
          <w:rtl w:val="0"/>
        </w:rPr>
        <w:t xml:space="preserve">Supplementary Table S3: Filters used for CFB cohort variant interpretation</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b w:val="1"/>
                <w:sz w:val="24"/>
                <w:szCs w:val="24"/>
              </w:rPr>
            </w:pPr>
            <w:r w:rsidDel="00000000" w:rsidR="00000000" w:rsidRPr="00000000">
              <w:rPr>
                <w:b w:val="1"/>
                <w:sz w:val="24"/>
                <w:szCs w:val="24"/>
                <w:rtl w:val="0"/>
              </w:rPr>
              <w:t xml:space="preserve">Filter</w:t>
            </w:r>
          </w:p>
        </w:tc>
        <w:tc>
          <w:tcPr>
            <w:shd w:fill="d9d9d9"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b w:val="1"/>
                <w:sz w:val="24"/>
                <w:szCs w:val="24"/>
              </w:rPr>
            </w:pPr>
            <w:r w:rsidDel="00000000" w:rsidR="00000000" w:rsidRPr="00000000">
              <w:rPr>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sz w:val="24"/>
                <w:szCs w:val="24"/>
              </w:rPr>
            </w:pPr>
            <w:r w:rsidDel="00000000" w:rsidR="00000000" w:rsidRPr="00000000">
              <w:rPr>
                <w:sz w:val="24"/>
                <w:szCs w:val="24"/>
                <w:rtl w:val="0"/>
              </w:rPr>
              <w:t xml:space="preserve">Coverage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 30x</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Read alternate observation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 2</w:t>
            </w:r>
          </w:p>
        </w:tc>
      </w:tr>
      <w:tr>
        <w:trPr>
          <w:cantSplit w:val="0"/>
          <w:trHeight w:val="4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sz w:val="24"/>
                <w:szCs w:val="24"/>
              </w:rPr>
            </w:pPr>
            <w:r w:rsidDel="00000000" w:rsidR="00000000" w:rsidRPr="00000000">
              <w:rPr>
                <w:sz w:val="24"/>
                <w:szCs w:val="24"/>
                <w:rtl w:val="0"/>
              </w:rPr>
              <w:t xml:space="preserve">Quality phred score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 Medium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sz w:val="24"/>
                <w:szCs w:val="24"/>
              </w:rPr>
            </w:pPr>
            <w:r w:rsidDel="00000000" w:rsidR="00000000" w:rsidRPr="00000000">
              <w:rPr>
                <w:sz w:val="24"/>
                <w:szCs w:val="24"/>
                <w:rtl w:val="0"/>
              </w:rPr>
              <w:t xml:space="preserve">Allele frequency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sz w:val="24"/>
                <w:szCs w:val="24"/>
              </w:rPr>
            </w:pPr>
            <w:r w:rsidDel="00000000" w:rsidR="00000000" w:rsidRPr="00000000">
              <w:rPr>
                <w:sz w:val="24"/>
                <w:szCs w:val="24"/>
                <w:rtl w:val="0"/>
              </w:rPr>
              <w:t xml:space="preserve">Variant frequency in the cohort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 50%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sz w:val="24"/>
                <w:szCs w:val="24"/>
              </w:rPr>
            </w:pPr>
            <w:r w:rsidDel="00000000" w:rsidR="00000000" w:rsidRPr="00000000">
              <w:rPr>
                <w:sz w:val="24"/>
                <w:szCs w:val="24"/>
                <w:rtl w:val="0"/>
              </w:rPr>
              <w:t xml:space="preserve">Variant effect (VEP)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missense, intronic, splice polypyrimidine, splice region, 5 prime UTR, stop gained, frameshift, inframe deletion, splice donor region, splice acceptor, start lost, splice donor, stop lost, inframe insertion, stop retained, coding sequence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sz w:val="24"/>
                <w:szCs w:val="24"/>
              </w:rPr>
            </w:pPr>
            <w:r w:rsidDel="00000000" w:rsidR="00000000" w:rsidRPr="00000000">
              <w:rPr>
                <w:sz w:val="24"/>
                <w:szCs w:val="24"/>
                <w:rtl w:val="0"/>
              </w:rPr>
              <w:t xml:space="preserve">Relative population frequency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sz w:val="24"/>
                <w:szCs w:val="24"/>
                <w:vertAlign w:val="superscript"/>
              </w:rPr>
            </w:pPr>
            <w:r w:rsidDel="00000000" w:rsidR="00000000" w:rsidRPr="00000000">
              <w:rPr>
                <w:rFonts w:ascii="Arial Unicode MS" w:cs="Arial Unicode MS" w:eastAsia="Arial Unicode MS" w:hAnsi="Arial Unicode MS"/>
                <w:sz w:val="24"/>
                <w:szCs w:val="24"/>
                <w:rtl w:val="0"/>
              </w:rPr>
              <w:t xml:space="preserve">≤ 10</w:t>
            </w:r>
            <w:r w:rsidDel="00000000" w:rsidR="00000000" w:rsidRPr="00000000">
              <w:rPr>
                <w:sz w:val="24"/>
                <w:szCs w:val="24"/>
                <w:vertAlign w:val="superscript"/>
                <w:rtl w:val="0"/>
              </w:rPr>
              <w:t xml:space="preserve">-3</w:t>
            </w:r>
          </w:p>
        </w:tc>
      </w:tr>
    </w:tbl>
    <w:p w:rsidR="00000000" w:rsidDel="00000000" w:rsidP="00000000" w:rsidRDefault="00000000" w:rsidRPr="00000000" w14:paraId="000000B4">
      <w:pPr>
        <w:pStyle w:val="Heading1"/>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spacing w:line="276" w:lineRule="auto"/>
        <w:rPr>
          <w:b w:val="1"/>
          <w:sz w:val="32"/>
          <w:szCs w:val="32"/>
        </w:rPr>
      </w:pPr>
      <w:r w:rsidDel="00000000" w:rsidR="00000000" w:rsidRPr="00000000">
        <w:rPr>
          <w:b w:val="1"/>
          <w:sz w:val="32"/>
          <w:szCs w:val="32"/>
          <w:rtl w:val="0"/>
        </w:rPr>
        <w:t xml:space="preserve">Supplementary Table S4: Adapted ComPerMed score table for non-clear LoF mutations</w:t>
      </w:r>
    </w:p>
    <w:p w:rsidR="00000000" w:rsidDel="00000000" w:rsidP="00000000" w:rsidRDefault="00000000" w:rsidRPr="00000000" w14:paraId="000000B6">
      <w:pPr>
        <w:widowControl w:val="0"/>
        <w:rPr/>
      </w:pPr>
      <w:r w:rsidDel="00000000" w:rsidR="00000000" w:rsidRPr="00000000">
        <w:rPr>
          <w:rtl w:val="0"/>
        </w:rPr>
      </w:r>
    </w:p>
    <w:tbl>
      <w:tblPr>
        <w:tblStyle w:val="Table4"/>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1365"/>
        <w:gridCol w:w="1650"/>
        <w:gridCol w:w="3660"/>
        <w:tblGridChange w:id="0">
          <w:tblGrid>
            <w:gridCol w:w="2595"/>
            <w:gridCol w:w="1365"/>
            <w:gridCol w:w="1650"/>
            <w:gridCol w:w="3660"/>
          </w:tblGrid>
        </w:tblGridChange>
      </w:tblGrid>
      <w:tr>
        <w:trPr>
          <w:cantSplit w:val="0"/>
          <w:trHeight w:val="160" w:hRule="atLeast"/>
          <w:tblHeader w:val="0"/>
        </w:trPr>
        <w:tc>
          <w:tcPr>
            <w:tcBorders>
              <w:top w:color="9e9e9e" w:space="0" w:sz="8" w:val="single"/>
              <w:left w:color="000000" w:space="0" w:sz="8" w:val="single"/>
              <w:bottom w:color="9e9e9e" w:space="0" w:sz="8" w:val="single"/>
              <w:right w:color="000000" w:space="0" w:sz="8" w:val="single"/>
            </w:tcBorders>
            <w:shd w:fill="eeeeee" w:val="clear"/>
            <w:tcMar>
              <w:top w:w="60.0" w:type="dxa"/>
              <w:left w:w="60.0" w:type="dxa"/>
              <w:bottom w:w="60.0" w:type="dxa"/>
              <w:right w:w="60.0" w:type="dxa"/>
            </w:tcMar>
            <w:vAlign w:val="top"/>
          </w:tcPr>
          <w:p w:rsidR="00000000" w:rsidDel="00000000" w:rsidP="00000000" w:rsidRDefault="00000000" w:rsidRPr="00000000" w14:paraId="000000B7">
            <w:pPr>
              <w:widowControl w:val="0"/>
              <w:jc w:val="center"/>
              <w:rPr>
                <w:b w:val="1"/>
                <w:sz w:val="24"/>
                <w:szCs w:val="24"/>
              </w:rPr>
            </w:pPr>
            <w:r w:rsidDel="00000000" w:rsidR="00000000" w:rsidRPr="00000000">
              <w:rPr>
                <w:b w:val="1"/>
                <w:sz w:val="24"/>
                <w:szCs w:val="24"/>
                <w:rtl w:val="0"/>
              </w:rPr>
              <w:t xml:space="preserve">Parameter</w:t>
            </w:r>
          </w:p>
        </w:tc>
        <w:tc>
          <w:tcPr>
            <w:tcBorders>
              <w:top w:color="9e9e9e" w:space="0" w:sz="8" w:val="single"/>
              <w:left w:color="000000" w:space="0" w:sz="8" w:val="single"/>
              <w:bottom w:color="9e9e9e" w:space="0" w:sz="8" w:val="single"/>
              <w:right w:color="000000" w:space="0" w:sz="8" w:val="single"/>
            </w:tcBorders>
            <w:shd w:fill="eeeeee" w:val="clear"/>
            <w:tcMar>
              <w:top w:w="60.0" w:type="dxa"/>
              <w:left w:w="60.0" w:type="dxa"/>
              <w:bottom w:w="60.0" w:type="dxa"/>
              <w:right w:w="60.0" w:type="dxa"/>
            </w:tcMar>
            <w:vAlign w:val="top"/>
          </w:tcPr>
          <w:p w:rsidR="00000000" w:rsidDel="00000000" w:rsidP="00000000" w:rsidRDefault="00000000" w:rsidRPr="00000000" w14:paraId="000000B8">
            <w:pPr>
              <w:widowControl w:val="0"/>
              <w:jc w:val="center"/>
              <w:rPr>
                <w:b w:val="1"/>
                <w:sz w:val="24"/>
                <w:szCs w:val="24"/>
              </w:rPr>
            </w:pPr>
            <w:r w:rsidDel="00000000" w:rsidR="00000000" w:rsidRPr="00000000">
              <w:rPr>
                <w:b w:val="1"/>
                <w:sz w:val="24"/>
                <w:szCs w:val="24"/>
                <w:rtl w:val="0"/>
              </w:rPr>
              <w:t xml:space="preserve">Score +2</w:t>
            </w:r>
          </w:p>
        </w:tc>
        <w:tc>
          <w:tcPr>
            <w:tcBorders>
              <w:top w:color="9e9e9e" w:space="0" w:sz="8" w:val="single"/>
              <w:left w:color="000000" w:space="0" w:sz="8" w:val="single"/>
              <w:bottom w:color="9e9e9e" w:space="0" w:sz="8" w:val="single"/>
              <w:right w:color="000000" w:space="0" w:sz="8" w:val="single"/>
            </w:tcBorders>
            <w:shd w:fill="eeeeee" w:val="clear"/>
            <w:tcMar>
              <w:top w:w="60.0" w:type="dxa"/>
              <w:left w:w="60.0" w:type="dxa"/>
              <w:bottom w:w="60.0" w:type="dxa"/>
              <w:right w:w="60.0" w:type="dxa"/>
            </w:tcMar>
            <w:vAlign w:val="top"/>
          </w:tcPr>
          <w:p w:rsidR="00000000" w:rsidDel="00000000" w:rsidP="00000000" w:rsidRDefault="00000000" w:rsidRPr="00000000" w14:paraId="000000B9">
            <w:pPr>
              <w:widowControl w:val="0"/>
              <w:jc w:val="center"/>
              <w:rPr>
                <w:b w:val="1"/>
                <w:sz w:val="24"/>
                <w:szCs w:val="24"/>
              </w:rPr>
            </w:pPr>
            <w:r w:rsidDel="00000000" w:rsidR="00000000" w:rsidRPr="00000000">
              <w:rPr>
                <w:b w:val="1"/>
                <w:sz w:val="24"/>
                <w:szCs w:val="24"/>
                <w:rtl w:val="0"/>
              </w:rPr>
              <w:t xml:space="preserve">Score +1</w:t>
            </w:r>
          </w:p>
        </w:tc>
        <w:tc>
          <w:tcPr>
            <w:tcBorders>
              <w:top w:color="9e9e9e" w:space="0" w:sz="8" w:val="single"/>
              <w:left w:color="000000" w:space="0" w:sz="8" w:val="single"/>
              <w:bottom w:color="9e9e9e" w:space="0" w:sz="8" w:val="single"/>
              <w:right w:color="000000" w:space="0" w:sz="8" w:val="single"/>
            </w:tcBorders>
            <w:shd w:fill="eeeeee" w:val="clear"/>
            <w:tcMar>
              <w:top w:w="60.0" w:type="dxa"/>
              <w:left w:w="60.0" w:type="dxa"/>
              <w:bottom w:w="60.0" w:type="dxa"/>
              <w:right w:w="60.0" w:type="dxa"/>
            </w:tcMar>
            <w:vAlign w:val="top"/>
          </w:tcPr>
          <w:p w:rsidR="00000000" w:rsidDel="00000000" w:rsidP="00000000" w:rsidRDefault="00000000" w:rsidRPr="00000000" w14:paraId="000000BA">
            <w:pPr>
              <w:widowControl w:val="0"/>
              <w:jc w:val="center"/>
              <w:rPr>
                <w:b w:val="1"/>
                <w:sz w:val="24"/>
                <w:szCs w:val="24"/>
              </w:rPr>
            </w:pPr>
            <w:r w:rsidDel="00000000" w:rsidR="00000000" w:rsidRPr="00000000">
              <w:rPr>
                <w:b w:val="1"/>
                <w:sz w:val="24"/>
                <w:szCs w:val="24"/>
                <w:rtl w:val="0"/>
              </w:rPr>
              <w:t xml:space="preserve">Score +0.5</w:t>
            </w:r>
          </w:p>
        </w:tc>
      </w:tr>
      <w:tr>
        <w:trPr>
          <w:cantSplit w:val="0"/>
          <w:trHeight w:val="160" w:hRule="atLeast"/>
          <w:tblHeader w:val="0"/>
        </w:trPr>
        <w:tc>
          <w:tcPr>
            <w:tcBorders>
              <w:top w:color="9e9e9e"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BB">
            <w:pPr>
              <w:widowControl w:val="0"/>
              <w:rPr>
                <w:sz w:val="24"/>
                <w:szCs w:val="24"/>
              </w:rPr>
            </w:pPr>
            <w:r w:rsidDel="00000000" w:rsidR="00000000" w:rsidRPr="00000000">
              <w:rPr>
                <w:sz w:val="24"/>
                <w:szCs w:val="24"/>
                <w:rtl w:val="0"/>
              </w:rPr>
              <w:t xml:space="preserve">Mutation tier from COSMIC Mutation Census</w:t>
            </w:r>
          </w:p>
        </w:tc>
        <w:tc>
          <w:tcPr>
            <w:tcBorders>
              <w:top w:color="9e9e9e"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BC">
            <w:pPr>
              <w:widowControl w:val="0"/>
              <w:jc w:val="center"/>
              <w:rPr>
                <w:sz w:val="24"/>
                <w:szCs w:val="24"/>
              </w:rPr>
            </w:pPr>
            <w:r w:rsidDel="00000000" w:rsidR="00000000" w:rsidRPr="00000000">
              <w:rPr>
                <w:sz w:val="24"/>
                <w:szCs w:val="24"/>
                <w:rtl w:val="0"/>
              </w:rPr>
              <w:t xml:space="preserve">1, 2, 3</w:t>
            </w:r>
          </w:p>
        </w:tc>
        <w:tc>
          <w:tcPr>
            <w:tcBorders>
              <w:top w:color="9e9e9e"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BD">
            <w:pPr>
              <w:widowControl w:val="0"/>
              <w:jc w:val="center"/>
              <w:rPr>
                <w:sz w:val="24"/>
                <w:szCs w:val="24"/>
              </w:rPr>
            </w:pPr>
            <w:r w:rsidDel="00000000" w:rsidR="00000000" w:rsidRPr="00000000">
              <w:rPr>
                <w:sz w:val="24"/>
                <w:szCs w:val="24"/>
                <w:rtl w:val="0"/>
              </w:rPr>
              <w:t xml:space="preserve">Other tier</w:t>
            </w:r>
          </w:p>
        </w:tc>
        <w:tc>
          <w:tcPr>
            <w:tcBorders>
              <w:top w:color="9e9e9e"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BE">
            <w:pPr>
              <w:widowControl w:val="0"/>
              <w:jc w:val="center"/>
              <w:rPr>
                <w:sz w:val="24"/>
                <w:szCs w:val="24"/>
              </w:rPr>
            </w:pPr>
            <w:r w:rsidDel="00000000" w:rsidR="00000000" w:rsidRPr="00000000">
              <w:rPr>
                <w:sz w:val="24"/>
                <w:szCs w:val="24"/>
                <w:rtl w:val="0"/>
              </w:rPr>
              <w:t xml:space="preserve">/</w:t>
            </w:r>
          </w:p>
        </w:tc>
      </w:tr>
      <w:tr>
        <w:trPr>
          <w:cantSplit w:val="0"/>
          <w:trHeight w:val="1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BF">
            <w:pPr>
              <w:widowControl w:val="0"/>
              <w:rPr>
                <w:sz w:val="24"/>
                <w:szCs w:val="24"/>
              </w:rPr>
            </w:pPr>
            <w:r w:rsidDel="00000000" w:rsidR="00000000" w:rsidRPr="00000000">
              <w:rPr>
                <w:i w:val="1"/>
                <w:sz w:val="24"/>
                <w:szCs w:val="24"/>
                <w:rtl w:val="0"/>
              </w:rPr>
              <w:t xml:space="preserve">In-silico</w:t>
            </w:r>
            <w:r w:rsidDel="00000000" w:rsidR="00000000" w:rsidRPr="00000000">
              <w:rPr>
                <w:sz w:val="24"/>
                <w:szCs w:val="24"/>
                <w:rtl w:val="0"/>
              </w:rPr>
              <w:t xml:space="preserve"> variant damaging prediction tools*</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C0">
            <w:pPr>
              <w:widowControl w:val="0"/>
              <w:jc w:val="center"/>
              <w:rPr>
                <w:sz w:val="24"/>
                <w:szCs w:val="24"/>
              </w:rPr>
            </w:pPr>
            <w:r w:rsidDel="00000000" w:rsidR="00000000" w:rsidRPr="00000000">
              <w:rPr>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C1">
            <w:pPr>
              <w:widowControl w:val="0"/>
              <w:jc w:val="center"/>
              <w:rPr>
                <w:sz w:val="24"/>
                <w:szCs w:val="24"/>
              </w:rPr>
            </w:pPr>
            <w:r w:rsidDel="00000000" w:rsidR="00000000" w:rsidRPr="00000000">
              <w:rPr>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C2">
            <w:pPr>
              <w:widowControl w:val="0"/>
              <w:jc w:val="center"/>
              <w:rPr>
                <w:sz w:val="24"/>
                <w:szCs w:val="24"/>
              </w:rPr>
            </w:pPr>
            <w:r w:rsidDel="00000000" w:rsidR="00000000" w:rsidRPr="00000000">
              <w:rPr>
                <w:sz w:val="24"/>
                <w:szCs w:val="24"/>
                <w:rtl w:val="0"/>
              </w:rPr>
              <w:t xml:space="preserve">⅔ of the prediction as damaging</w:t>
            </w:r>
          </w:p>
        </w:tc>
      </w:tr>
      <w:tr>
        <w:trPr>
          <w:cantSplit w:val="0"/>
          <w:trHeight w:val="1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C3">
            <w:pPr>
              <w:widowControl w:val="0"/>
              <w:rPr>
                <w:sz w:val="24"/>
                <w:szCs w:val="24"/>
              </w:rPr>
            </w:pPr>
            <w:r w:rsidDel="00000000" w:rsidR="00000000" w:rsidRPr="00000000">
              <w:rPr>
                <w:sz w:val="24"/>
                <w:szCs w:val="24"/>
                <w:rtl w:val="0"/>
              </w:rPr>
              <w:t xml:space="preserve">ClinVar pathogenic annotation</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C4">
            <w:pPr>
              <w:widowControl w:val="0"/>
              <w:jc w:val="center"/>
              <w:rPr>
                <w:sz w:val="24"/>
                <w:szCs w:val="24"/>
              </w:rPr>
            </w:pPr>
            <w:r w:rsidDel="00000000" w:rsidR="00000000" w:rsidRPr="00000000">
              <w:rPr>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C5">
            <w:pPr>
              <w:widowControl w:val="0"/>
              <w:jc w:val="center"/>
              <w:rPr>
                <w:sz w:val="24"/>
                <w:szCs w:val="24"/>
              </w:rPr>
            </w:pPr>
            <w:r w:rsidDel="00000000" w:rsidR="00000000" w:rsidRPr="00000000">
              <w:rPr>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C6">
            <w:pPr>
              <w:widowControl w:val="0"/>
              <w:jc w:val="center"/>
              <w:rPr>
                <w:sz w:val="24"/>
                <w:szCs w:val="24"/>
              </w:rPr>
            </w:pPr>
            <w:r w:rsidDel="00000000" w:rsidR="00000000" w:rsidRPr="00000000">
              <w:rPr>
                <w:sz w:val="24"/>
                <w:szCs w:val="24"/>
                <w:rtl w:val="0"/>
              </w:rPr>
              <w:t xml:space="preserve">Pathogenic / Likely Pathogenic</w:t>
            </w:r>
          </w:p>
        </w:tc>
      </w:tr>
      <w:tr>
        <w:trPr>
          <w:cantSplit w:val="0"/>
          <w:trHeight w:val="160" w:hRule="atLeast"/>
          <w:tblHeader w:val="0"/>
        </w:trPr>
        <w:tc>
          <w:tcPr>
            <w:tcBorders>
              <w:top w:color="000000" w:space="0" w:sz="8" w:val="single"/>
              <w:left w:color="000000" w:space="0" w:sz="8" w:val="single"/>
              <w:bottom w:color="9e9e9e"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C7">
            <w:pPr>
              <w:widowControl w:val="0"/>
              <w:rPr>
                <w:sz w:val="24"/>
                <w:szCs w:val="24"/>
              </w:rPr>
            </w:pPr>
            <w:r w:rsidDel="00000000" w:rsidR="00000000" w:rsidRPr="00000000">
              <w:rPr>
                <w:sz w:val="24"/>
                <w:szCs w:val="24"/>
                <w:rtl w:val="0"/>
              </w:rPr>
              <w:t xml:space="preserve">Present in CIViC</w:t>
            </w:r>
          </w:p>
        </w:tc>
        <w:tc>
          <w:tcPr>
            <w:tcBorders>
              <w:top w:color="000000" w:space="0" w:sz="8" w:val="single"/>
              <w:left w:color="000000" w:space="0" w:sz="8" w:val="single"/>
              <w:bottom w:color="9e9e9e"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C8">
            <w:pPr>
              <w:widowControl w:val="0"/>
              <w:jc w:val="center"/>
              <w:rPr>
                <w:sz w:val="24"/>
                <w:szCs w:val="24"/>
              </w:rPr>
            </w:pPr>
            <w:r w:rsidDel="00000000" w:rsidR="00000000" w:rsidRPr="00000000">
              <w:rPr>
                <w:sz w:val="24"/>
                <w:szCs w:val="24"/>
                <w:rtl w:val="0"/>
              </w:rPr>
              <w:t xml:space="preserve">/</w:t>
            </w:r>
          </w:p>
        </w:tc>
        <w:tc>
          <w:tcPr>
            <w:tcBorders>
              <w:top w:color="000000" w:space="0" w:sz="8" w:val="single"/>
              <w:left w:color="000000" w:space="0" w:sz="8" w:val="single"/>
              <w:bottom w:color="9e9e9e"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C9">
            <w:pPr>
              <w:widowControl w:val="0"/>
              <w:jc w:val="center"/>
              <w:rPr>
                <w:sz w:val="24"/>
                <w:szCs w:val="24"/>
              </w:rPr>
            </w:pPr>
            <w:r w:rsidDel="00000000" w:rsidR="00000000" w:rsidRPr="00000000">
              <w:rPr>
                <w:sz w:val="24"/>
                <w:szCs w:val="24"/>
                <w:rtl w:val="0"/>
              </w:rPr>
              <w:t xml:space="preserve">/</w:t>
            </w:r>
          </w:p>
        </w:tc>
        <w:tc>
          <w:tcPr>
            <w:tcBorders>
              <w:top w:color="000000" w:space="0" w:sz="8" w:val="single"/>
              <w:left w:color="000000" w:space="0" w:sz="8" w:val="single"/>
              <w:bottom w:color="9e9e9e"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CA">
            <w:pPr>
              <w:widowControl w:val="0"/>
              <w:jc w:val="center"/>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pStyle w:val="Heading1"/>
        <w:spacing w:line="480" w:lineRule="auto"/>
        <w:jc w:val="both"/>
        <w:rPr>
          <w:b w:val="1"/>
        </w:rPr>
      </w:pPr>
      <w:bookmarkStart w:colFirst="0" w:colLast="0" w:name="_ip76shq26vz5" w:id="3"/>
      <w:bookmarkEnd w:id="3"/>
      <w:r w:rsidDel="00000000" w:rsidR="00000000" w:rsidRPr="00000000">
        <w:rPr>
          <w:sz w:val="22"/>
          <w:szCs w:val="22"/>
          <w:rtl w:val="0"/>
        </w:rPr>
        <w:t xml:space="preserve">*In silico variant damaging prediction tools used : MutationTaster, fathmm-MKL, LRT, MetaLR, MetaSVM, PROVEAN, FATHMM, DANN, MutationAssessor</w:t>
      </w:r>
      <w:r w:rsidDel="00000000" w:rsidR="00000000" w:rsidRPr="00000000">
        <w:rPr>
          <w:b w:val="1"/>
          <w:sz w:val="22"/>
          <w:szCs w:val="2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spacing w:line="276" w:lineRule="auto"/>
        <w:rPr>
          <w:b w:val="1"/>
          <w:sz w:val="32"/>
          <w:szCs w:val="32"/>
        </w:rPr>
      </w:pPr>
      <w:bookmarkStart w:colFirst="0" w:colLast="0" w:name="_rp22wee6dh3q" w:id="4"/>
      <w:bookmarkEnd w:id="4"/>
      <w:r w:rsidDel="00000000" w:rsidR="00000000" w:rsidRPr="00000000">
        <w:rPr>
          <w:b w:val="1"/>
          <w:sz w:val="32"/>
          <w:szCs w:val="32"/>
          <w:rtl w:val="0"/>
        </w:rPr>
        <w:t xml:space="preserve">Supplementary Table S5: CIViC clinical evidence (B) not identified by DrugOrder </w:t>
      </w:r>
    </w:p>
    <w:p w:rsidR="00000000" w:rsidDel="00000000" w:rsidP="00000000" w:rsidRDefault="00000000" w:rsidRPr="00000000" w14:paraId="000000CE">
      <w:pPr>
        <w:pStyle w:val="Heading1"/>
        <w:spacing w:line="276" w:lineRule="auto"/>
        <w:rPr>
          <w:b w:val="1"/>
          <w:sz w:val="32"/>
          <w:szCs w:val="32"/>
        </w:rPr>
      </w:pPr>
      <w:bookmarkStart w:colFirst="0" w:colLast="0" w:name="_159z60i3hwjz" w:id="5"/>
      <w:bookmarkEnd w:id="5"/>
      <w:r w:rsidDel="00000000" w:rsidR="00000000" w:rsidRPr="00000000">
        <w:rPr>
          <w:rtl w:val="0"/>
        </w:rPr>
      </w:r>
    </w:p>
    <w:tbl>
      <w:tblPr>
        <w:tblStyle w:val="Table5"/>
        <w:tblpPr w:leftFromText="180" w:rightFromText="180" w:topFromText="180" w:bottomFromText="180" w:vertAnchor="text" w:horzAnchor="text" w:tblpX="-1050" w:tblpY="10.507812499995453"/>
        <w:tblW w:w="11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925"/>
        <w:gridCol w:w="870"/>
        <w:gridCol w:w="1755"/>
        <w:gridCol w:w="1200"/>
        <w:gridCol w:w="1590"/>
        <w:gridCol w:w="1995"/>
        <w:tblGridChange w:id="0">
          <w:tblGrid>
            <w:gridCol w:w="1080"/>
            <w:gridCol w:w="2925"/>
            <w:gridCol w:w="870"/>
            <w:gridCol w:w="1755"/>
            <w:gridCol w:w="1200"/>
            <w:gridCol w:w="1590"/>
            <w:gridCol w:w="1995"/>
          </w:tblGrid>
        </w:tblGridChange>
      </w:tblGrid>
      <w:tr>
        <w:trPr>
          <w:cantSplit w:val="0"/>
          <w:tblHeader w:val="0"/>
        </w:trPr>
        <w:tc>
          <w:tcPr>
            <w:shd w:fill="ffffff" w:val="clear"/>
            <w:tcMar>
              <w:top w:w="20.0" w:type="dxa"/>
              <w:left w:w="20.0" w:type="dxa"/>
              <w:right w:w="20.0" w:type="dxa"/>
            </w:tcMar>
            <w:vAlign w:val="bottom"/>
          </w:tcPr>
          <w:p w:rsidR="00000000" w:rsidDel="00000000" w:rsidP="00000000" w:rsidRDefault="00000000" w:rsidRPr="00000000" w14:paraId="000000CF">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Sample</w:t>
            </w:r>
          </w:p>
        </w:tc>
        <w:tc>
          <w:tcPr>
            <w:shd w:fill="ffffff" w:val="clear"/>
            <w:tcMar>
              <w:top w:w="20.0" w:type="dxa"/>
              <w:left w:w="20.0" w:type="dxa"/>
              <w:right w:w="20.0" w:type="dxa"/>
            </w:tcMar>
            <w:vAlign w:val="bottom"/>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Variant_Name</w:t>
            </w:r>
          </w:p>
        </w:tc>
        <w:tc>
          <w:tcPr>
            <w:shd w:fill="ffffff" w:val="clear"/>
            <w:tcMar>
              <w:top w:w="20.0" w:type="dxa"/>
              <w:left w:w="20.0" w:type="dxa"/>
              <w:right w:w="20.0" w:type="dxa"/>
            </w:tcMar>
            <w:vAlign w:val="bottom"/>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HGVS</w:t>
            </w:r>
          </w:p>
        </w:tc>
        <w:tc>
          <w:tcPr>
            <w:shd w:fill="ffffff" w:val="clear"/>
            <w:tcMar>
              <w:top w:w="20.0" w:type="dxa"/>
              <w:left w:w="20.0" w:type="dxa"/>
              <w:right w:w="20.0" w:type="dxa"/>
            </w:tcMar>
            <w:vAlign w:val="bottom"/>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Drug(s)</w:t>
            </w:r>
          </w:p>
        </w:tc>
        <w:tc>
          <w:tcPr>
            <w:shd w:fill="ffffff" w:val="clear"/>
            <w:tcMar>
              <w:top w:w="20.0" w:type="dxa"/>
              <w:left w:w="20.0" w:type="dxa"/>
              <w:right w:w="20.0" w:type="dxa"/>
            </w:tcMar>
            <w:vAlign w:val="bottom"/>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CIViC evidence level</w:t>
            </w:r>
          </w:p>
        </w:tc>
        <w:tc>
          <w:tcPr>
            <w:shd w:fill="ffffff" w:val="clear"/>
            <w:tcMar>
              <w:top w:w="20.0" w:type="dxa"/>
              <w:left w:w="20.0" w:type="dxa"/>
              <w:right w:w="20.0" w:type="dxa"/>
            </w:tcMar>
            <w:vAlign w:val="bottom"/>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Disease</w:t>
            </w:r>
          </w:p>
        </w:tc>
        <w:tc>
          <w:tcPr>
            <w:shd w:fill="ffffff" w:val="clear"/>
            <w:tcMar>
              <w:top w:w="20.0" w:type="dxa"/>
              <w:left w:w="20.0" w:type="dxa"/>
              <w:right w:w="20.0" w:type="dxa"/>
            </w:tcMar>
            <w:vAlign w:val="bottom"/>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OncoKB level</w:t>
            </w:r>
          </w:p>
        </w:tc>
      </w:tr>
      <w:tr>
        <w:trPr>
          <w:cantSplit w:val="0"/>
          <w:tblHeader w:val="0"/>
        </w:trPr>
        <w:tc>
          <w:tcPr>
            <w:shd w:fill="ffffff" w:val="clear"/>
            <w:tcMar>
              <w:top w:w="20.0" w:type="dxa"/>
              <w:left w:w="20.0" w:type="dxa"/>
              <w:right w:w="20.0" w:type="dxa"/>
            </w:tcMar>
            <w:vAlign w:val="bottom"/>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tumor56</w:t>
            </w:r>
          </w:p>
        </w:tc>
        <w:tc>
          <w:tcPr>
            <w:shd w:fill="ffffff" w:val="clear"/>
            <w:tcMar>
              <w:top w:w="20.0" w:type="dxa"/>
              <w:left w:w="20.0" w:type="dxa"/>
              <w:right w:w="20.0" w:type="dxa"/>
            </w:tcMar>
            <w:vAlign w:val="bottom"/>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1_H3-3A_226064434_A_T</w:t>
            </w:r>
          </w:p>
        </w:tc>
        <w:tc>
          <w:tcPr>
            <w:shd w:fill="ffffff" w:val="clear"/>
            <w:tcMar>
              <w:top w:w="20.0" w:type="dxa"/>
              <w:left w:w="20.0" w:type="dxa"/>
              <w:right w:w="20.0" w:type="dxa"/>
            </w:tcMar>
            <w:vAlign w:val="bottom"/>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K28M</w:t>
            </w:r>
          </w:p>
        </w:tc>
        <w:tc>
          <w:tcPr>
            <w:shd w:fill="ffffff" w:val="clear"/>
            <w:tcMar>
              <w:top w:w="20.0" w:type="dxa"/>
              <w:left w:w="20.0" w:type="dxa"/>
              <w:right w:w="20.0" w:type="dxa"/>
            </w:tcMar>
            <w:vAlign w:val="bottom"/>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Akt/ERK Inhibitor ONC201</w:t>
            </w:r>
          </w:p>
        </w:tc>
        <w:tc>
          <w:tcPr>
            <w:shd w:fill="ffffff" w:val="clear"/>
            <w:tcMar>
              <w:top w:w="20.0" w:type="dxa"/>
              <w:left w:w="20.0" w:type="dxa"/>
              <w:right w:w="20.0" w:type="dxa"/>
            </w:tcMar>
            <w:vAlign w:val="bottom"/>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B</w:t>
            </w:r>
          </w:p>
        </w:tc>
        <w:tc>
          <w:tcPr>
            <w:shd w:fill="ffffff" w:val="clear"/>
            <w:tcMar>
              <w:top w:w="20.0" w:type="dxa"/>
              <w:left w:w="20.0" w:type="dxa"/>
              <w:right w:w="20.0" w:type="dxa"/>
            </w:tcMar>
            <w:vAlign w:val="bottom"/>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glioma</w:t>
            </w:r>
          </w:p>
        </w:tc>
        <w:tc>
          <w:tcPr>
            <w:shd w:fill="ffffff" w:val="clear"/>
            <w:tcMar>
              <w:top w:w="20.0" w:type="dxa"/>
              <w:left w:w="20.0" w:type="dxa"/>
              <w:right w:w="20.0" w:type="dxa"/>
            </w:tcMar>
            <w:vAlign w:val="bottom"/>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None</w:t>
            </w:r>
          </w:p>
        </w:tc>
      </w:tr>
      <w:tr>
        <w:trPr>
          <w:cantSplit w:val="0"/>
          <w:tblHeader w:val="0"/>
        </w:trPr>
        <w:tc>
          <w:tcPr>
            <w:shd w:fill="ffffff" w:val="clear"/>
            <w:tcMar>
              <w:top w:w="20.0" w:type="dxa"/>
              <w:left w:w="20.0" w:type="dxa"/>
              <w:right w:w="20.0" w:type="dxa"/>
            </w:tcMar>
            <w:vAlign w:val="bottom"/>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tumor57</w:t>
            </w:r>
          </w:p>
        </w:tc>
        <w:tc>
          <w:tcPr>
            <w:shd w:fill="ffffff" w:val="clear"/>
            <w:tcMar>
              <w:top w:w="20.0" w:type="dxa"/>
              <w:left w:w="20.0" w:type="dxa"/>
              <w:right w:w="20.0" w:type="dxa"/>
            </w:tcMar>
            <w:vAlign w:val="bottom"/>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11_GSTP1_67352689_A_G</w:t>
            </w:r>
          </w:p>
        </w:tc>
        <w:tc>
          <w:tcPr>
            <w:shd w:fill="ffffff" w:val="clear"/>
            <w:tcMar>
              <w:top w:w="20.0" w:type="dxa"/>
              <w:left w:w="20.0" w:type="dxa"/>
              <w:right w:w="20.0" w:type="dxa"/>
            </w:tcMar>
            <w:vAlign w:val="bottom"/>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I105V</w:t>
            </w:r>
          </w:p>
        </w:tc>
        <w:tc>
          <w:tcPr>
            <w:shd w:fill="ffffff" w:val="clear"/>
            <w:tcMar>
              <w:top w:w="20.0" w:type="dxa"/>
              <w:left w:w="20.0" w:type="dxa"/>
              <w:right w:w="20.0" w:type="dxa"/>
            </w:tcMar>
            <w:vAlign w:val="bottom"/>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FOLFOX Regimen</w:t>
            </w:r>
          </w:p>
        </w:tc>
        <w:tc>
          <w:tcPr>
            <w:shd w:fill="ffffff" w:val="clear"/>
            <w:tcMar>
              <w:top w:w="20.0" w:type="dxa"/>
              <w:left w:w="20.0" w:type="dxa"/>
              <w:right w:w="20.0" w:type="dxa"/>
            </w:tcMar>
            <w:vAlign w:val="bottom"/>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B</w:t>
            </w:r>
          </w:p>
        </w:tc>
        <w:tc>
          <w:tcPr>
            <w:shd w:fill="ffffff" w:val="clear"/>
            <w:tcMar>
              <w:top w:w="20.0" w:type="dxa"/>
              <w:left w:w="20.0" w:type="dxa"/>
              <w:right w:w="20.0" w:type="dxa"/>
            </w:tcMar>
            <w:vAlign w:val="bottom"/>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carcinoma of colon</w:t>
            </w:r>
          </w:p>
        </w:tc>
        <w:tc>
          <w:tcPr>
            <w:shd w:fill="ffffff" w:val="clear"/>
            <w:tcMar>
              <w:top w:w="20.0" w:type="dxa"/>
              <w:left w:w="20.0" w:type="dxa"/>
              <w:right w:w="20.0" w:type="dxa"/>
            </w:tcMar>
            <w:vAlign w:val="bottom"/>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None</w:t>
            </w:r>
          </w:p>
        </w:tc>
      </w:tr>
      <w:tr>
        <w:trPr>
          <w:cantSplit w:val="0"/>
          <w:tblHeader w:val="0"/>
        </w:trPr>
        <w:tc>
          <w:tcPr>
            <w:shd w:fill="ffffff" w:val="clear"/>
            <w:tcMar>
              <w:top w:w="20.0" w:type="dxa"/>
              <w:left w:w="20.0" w:type="dxa"/>
              <w:right w:w="20.0" w:type="dxa"/>
            </w:tcMar>
            <w:vAlign w:val="bottom"/>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tumor99</w:t>
            </w:r>
          </w:p>
        </w:tc>
        <w:tc>
          <w:tcPr>
            <w:shd w:fill="ffffff" w:val="clear"/>
            <w:tcMar>
              <w:top w:w="20.0" w:type="dxa"/>
              <w:left w:w="20.0" w:type="dxa"/>
              <w:right w:w="20.0" w:type="dxa"/>
            </w:tcMar>
            <w:vAlign w:val="bottom"/>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20_GNAS_57428713_T_C</w:t>
            </w:r>
          </w:p>
        </w:tc>
        <w:tc>
          <w:tcPr>
            <w:shd w:fill="ffffff" w:val="clear"/>
            <w:tcMar>
              <w:top w:w="20.0" w:type="dxa"/>
              <w:left w:w="20.0" w:type="dxa"/>
              <w:right w:w="20.0" w:type="dxa"/>
            </w:tcMar>
            <w:vAlign w:val="bottom"/>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393T&gt;C</w:t>
            </w:r>
          </w:p>
        </w:tc>
        <w:tc>
          <w:tcPr>
            <w:shd w:fill="ffffff" w:val="clear"/>
            <w:tcMar>
              <w:top w:w="20.0" w:type="dxa"/>
              <w:left w:w="20.0" w:type="dxa"/>
              <w:right w:w="20.0" w:type="dxa"/>
            </w:tcMar>
            <w:vAlign w:val="bottom"/>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Cisplatin Fluorouracil</w:t>
            </w:r>
          </w:p>
        </w:tc>
        <w:tc>
          <w:tcPr>
            <w:shd w:fill="ffffff" w:val="clear"/>
            <w:tcMar>
              <w:top w:w="20.0" w:type="dxa"/>
              <w:left w:w="20.0" w:type="dxa"/>
              <w:right w:w="20.0" w:type="dxa"/>
            </w:tcMar>
            <w:vAlign w:val="bottom"/>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B</w:t>
            </w:r>
          </w:p>
        </w:tc>
        <w:tc>
          <w:tcPr>
            <w:shd w:fill="ffffff" w:val="clear"/>
            <w:tcMar>
              <w:top w:w="20.0" w:type="dxa"/>
              <w:left w:w="20.0" w:type="dxa"/>
              <w:right w:w="20.0" w:type="dxa"/>
            </w:tcMar>
            <w:vAlign w:val="bottom"/>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neoplasm of esophagus</w:t>
            </w:r>
          </w:p>
        </w:tc>
        <w:tc>
          <w:tcPr>
            <w:shd w:fill="ffffff" w:val="clear"/>
            <w:tcMar>
              <w:top w:w="20.0" w:type="dxa"/>
              <w:left w:w="20.0" w:type="dxa"/>
              <w:right w:w="20.0" w:type="dxa"/>
            </w:tcMar>
            <w:vAlign w:val="bottom"/>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None</w:t>
            </w:r>
          </w:p>
        </w:tc>
      </w:tr>
      <w:tr>
        <w:trPr>
          <w:cantSplit w:val="0"/>
          <w:tblHeader w:val="0"/>
        </w:trPr>
        <w:tc>
          <w:tcPr>
            <w:shd w:fill="ffffff" w:val="clear"/>
            <w:tcMar>
              <w:top w:w="20.0" w:type="dxa"/>
              <w:left w:w="20.0" w:type="dxa"/>
              <w:right w:w="20.0" w:type="dxa"/>
            </w:tcMar>
            <w:vAlign w:val="bottom"/>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tumor196</w:t>
            </w:r>
          </w:p>
        </w:tc>
        <w:tc>
          <w:tcPr>
            <w:shd w:fill="ffffff" w:val="clear"/>
            <w:tcMar>
              <w:top w:w="20.0" w:type="dxa"/>
              <w:left w:w="20.0" w:type="dxa"/>
              <w:right w:w="20.0" w:type="dxa"/>
            </w:tcMar>
            <w:vAlign w:val="bottom"/>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19_ERCC2_45854919_T_G</w:t>
            </w:r>
          </w:p>
        </w:tc>
        <w:tc>
          <w:tcPr>
            <w:shd w:fill="ffffff" w:val="clear"/>
            <w:tcMar>
              <w:top w:w="20.0" w:type="dxa"/>
              <w:left w:w="20.0" w:type="dxa"/>
              <w:right w:w="20.0" w:type="dxa"/>
            </w:tcMar>
            <w:vAlign w:val="bottom"/>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K751Q</w:t>
            </w:r>
          </w:p>
        </w:tc>
        <w:tc>
          <w:tcPr>
            <w:shd w:fill="ffffff" w:val="clear"/>
            <w:tcMar>
              <w:top w:w="20.0" w:type="dxa"/>
              <w:left w:w="20.0" w:type="dxa"/>
              <w:right w:w="20.0" w:type="dxa"/>
            </w:tcMar>
            <w:vAlign w:val="bottom"/>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Paclitaxel Carboplatin</w:t>
            </w:r>
          </w:p>
        </w:tc>
        <w:tc>
          <w:tcPr>
            <w:shd w:fill="ffffff" w:val="clear"/>
            <w:tcMar>
              <w:top w:w="20.0" w:type="dxa"/>
              <w:left w:w="20.0" w:type="dxa"/>
              <w:right w:w="20.0" w:type="dxa"/>
            </w:tcMar>
            <w:vAlign w:val="bottom"/>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B</w:t>
            </w:r>
          </w:p>
        </w:tc>
        <w:tc>
          <w:tcPr>
            <w:shd w:fill="ffffff" w:val="clear"/>
            <w:tcMar>
              <w:top w:w="20.0" w:type="dxa"/>
              <w:left w:w="20.0" w:type="dxa"/>
              <w:right w:w="20.0" w:type="dxa"/>
            </w:tcMar>
            <w:vAlign w:val="bottom"/>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non-small cell lung cancer</w:t>
            </w:r>
          </w:p>
        </w:tc>
        <w:tc>
          <w:tcPr>
            <w:shd w:fill="ffffff" w:val="clear"/>
            <w:tcMar>
              <w:top w:w="20.0" w:type="dxa"/>
              <w:left w:w="20.0" w:type="dxa"/>
              <w:right w:w="20.0" w:type="dxa"/>
            </w:tcMar>
            <w:vAlign w:val="bottom"/>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3A*</w:t>
            </w:r>
          </w:p>
        </w:tc>
      </w:tr>
      <w:tr>
        <w:trPr>
          <w:cantSplit w:val="0"/>
          <w:tblHeader w:val="0"/>
        </w:trPr>
        <w:tc>
          <w:tcPr>
            <w:shd w:fill="ffffff" w:val="clear"/>
            <w:tcMar>
              <w:top w:w="20.0" w:type="dxa"/>
              <w:left w:w="20.0" w:type="dxa"/>
              <w:right w:w="20.0" w:type="dxa"/>
            </w:tcMar>
            <w:vAlign w:val="bottom"/>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tumor239</w:t>
            </w:r>
          </w:p>
        </w:tc>
        <w:tc>
          <w:tcPr>
            <w:shd w:fill="ffffff" w:val="clear"/>
            <w:tcMar>
              <w:top w:w="20.0" w:type="dxa"/>
              <w:left w:w="20.0" w:type="dxa"/>
              <w:right w:w="20.0" w:type="dxa"/>
            </w:tcMar>
            <w:vAlign w:val="bottom"/>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1_NRAS_115258747_C_T</w:t>
            </w:r>
          </w:p>
        </w:tc>
        <w:tc>
          <w:tcPr>
            <w:shd w:fill="ffffff" w:val="clear"/>
            <w:tcMar>
              <w:top w:w="20.0" w:type="dxa"/>
              <w:left w:w="20.0" w:type="dxa"/>
              <w:right w:w="20.0" w:type="dxa"/>
            </w:tcMar>
            <w:vAlign w:val="bottom"/>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G12D</w:t>
            </w:r>
          </w:p>
        </w:tc>
        <w:tc>
          <w:tcPr>
            <w:shd w:fill="ffffff" w:val="clear"/>
            <w:tcMar>
              <w:top w:w="20.0" w:type="dxa"/>
              <w:left w:w="20.0" w:type="dxa"/>
              <w:right w:w="20.0" w:type="dxa"/>
            </w:tcMar>
            <w:vAlign w:val="bottom"/>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Cetuximab</w:t>
            </w:r>
          </w:p>
        </w:tc>
        <w:tc>
          <w:tcPr>
            <w:shd w:fill="ffffff" w:val="clear"/>
            <w:tcMar>
              <w:top w:w="20.0" w:type="dxa"/>
              <w:left w:w="20.0" w:type="dxa"/>
              <w:right w:w="20.0" w:type="dxa"/>
            </w:tcMar>
            <w:vAlign w:val="bottom"/>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B</w:t>
            </w:r>
          </w:p>
        </w:tc>
        <w:tc>
          <w:tcPr>
            <w:shd w:fill="ffffff" w:val="clear"/>
            <w:tcMar>
              <w:top w:w="20.0" w:type="dxa"/>
              <w:left w:w="20.0" w:type="dxa"/>
              <w:right w:w="20.0" w:type="dxa"/>
            </w:tcMar>
            <w:vAlign w:val="bottom"/>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carcinoma of colon</w:t>
            </w:r>
          </w:p>
        </w:tc>
        <w:tc>
          <w:tcPr>
            <w:shd w:fill="ffffff" w:val="clear"/>
            <w:tcMar>
              <w:top w:w="20.0" w:type="dxa"/>
              <w:left w:w="20.0" w:type="dxa"/>
              <w:right w:w="20.0" w:type="dxa"/>
            </w:tcMar>
            <w:vAlign w:val="bottom"/>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R1**</w:t>
            </w:r>
          </w:p>
        </w:tc>
      </w:tr>
      <w:tr>
        <w:trPr>
          <w:cantSplit w:val="0"/>
          <w:tblHeader w:val="0"/>
        </w:trPr>
        <w:tc>
          <w:tcPr>
            <w:shd w:fill="ffffff" w:val="clear"/>
            <w:tcMar>
              <w:top w:w="20.0" w:type="dxa"/>
              <w:left w:w="20.0" w:type="dxa"/>
              <w:right w:w="20.0" w:type="dxa"/>
            </w:tcMar>
            <w:vAlign w:val="bottom"/>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tumor282</w:t>
            </w:r>
          </w:p>
        </w:tc>
        <w:tc>
          <w:tcPr>
            <w:shd w:fill="ffffff" w:val="clear"/>
            <w:tcMar>
              <w:top w:w="20.0" w:type="dxa"/>
              <w:left w:w="20.0" w:type="dxa"/>
              <w:right w:w="20.0" w:type="dxa"/>
            </w:tcMar>
            <w:vAlign w:val="bottom"/>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19_ERCC2_45854919_T_G</w:t>
            </w:r>
          </w:p>
        </w:tc>
        <w:tc>
          <w:tcPr>
            <w:shd w:fill="ffffff" w:val="clear"/>
            <w:tcMar>
              <w:top w:w="20.0" w:type="dxa"/>
              <w:left w:w="20.0" w:type="dxa"/>
              <w:right w:w="20.0" w:type="dxa"/>
            </w:tcMar>
            <w:vAlign w:val="bottom"/>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K751Q</w:t>
            </w:r>
          </w:p>
        </w:tc>
        <w:tc>
          <w:tcPr>
            <w:shd w:fill="ffffff" w:val="clear"/>
            <w:tcMar>
              <w:top w:w="20.0" w:type="dxa"/>
              <w:left w:w="20.0" w:type="dxa"/>
              <w:right w:w="20.0" w:type="dxa"/>
            </w:tcMar>
            <w:vAlign w:val="bottom"/>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Cisplatin</w:t>
            </w:r>
          </w:p>
        </w:tc>
        <w:tc>
          <w:tcPr>
            <w:shd w:fill="ffffff" w:val="clear"/>
            <w:tcMar>
              <w:top w:w="20.0" w:type="dxa"/>
              <w:left w:w="20.0" w:type="dxa"/>
              <w:right w:w="20.0" w:type="dxa"/>
            </w:tcMar>
            <w:vAlign w:val="bottom"/>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B</w:t>
            </w:r>
          </w:p>
        </w:tc>
        <w:tc>
          <w:tcPr>
            <w:shd w:fill="ffffff" w:val="clear"/>
            <w:tcMar>
              <w:top w:w="20.0" w:type="dxa"/>
              <w:left w:w="20.0" w:type="dxa"/>
              <w:right w:w="20.0" w:type="dxa"/>
            </w:tcMar>
            <w:vAlign w:val="bottom"/>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neoplasm of bone</w:t>
            </w:r>
          </w:p>
        </w:tc>
        <w:tc>
          <w:tcPr>
            <w:shd w:fill="ffffff" w:val="clear"/>
            <w:tcMar>
              <w:top w:w="20.0" w:type="dxa"/>
              <w:left w:w="20.0" w:type="dxa"/>
              <w:right w:w="20.0" w:type="dxa"/>
            </w:tcMar>
            <w:vAlign w:val="bottom"/>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3A</w:t>
            </w:r>
          </w:p>
        </w:tc>
      </w:tr>
      <w:tr>
        <w:trPr>
          <w:cantSplit w:val="0"/>
          <w:tblHeader w:val="0"/>
        </w:trPr>
        <w:tc>
          <w:tcPr>
            <w:shd w:fill="ffffff" w:val="clear"/>
            <w:tcMar>
              <w:top w:w="20.0" w:type="dxa"/>
              <w:left w:w="20.0" w:type="dxa"/>
              <w:right w:w="20.0" w:type="dxa"/>
            </w:tcMar>
            <w:vAlign w:val="bottom"/>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tumor302</w:t>
            </w:r>
          </w:p>
        </w:tc>
        <w:tc>
          <w:tcPr>
            <w:shd w:fill="ffffff" w:val="clear"/>
            <w:tcMar>
              <w:top w:w="20.0" w:type="dxa"/>
              <w:left w:w="20.0" w:type="dxa"/>
              <w:right w:w="20.0" w:type="dxa"/>
            </w:tcMar>
            <w:vAlign w:val="bottom"/>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20_GNAS_57428713_T_C</w:t>
            </w:r>
          </w:p>
        </w:tc>
        <w:tc>
          <w:tcPr>
            <w:shd w:fill="ffffff" w:val="clear"/>
            <w:tcMar>
              <w:top w:w="20.0" w:type="dxa"/>
              <w:left w:w="20.0" w:type="dxa"/>
              <w:right w:w="20.0" w:type="dxa"/>
            </w:tcMar>
            <w:vAlign w:val="bottom"/>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393T&gt;C</w:t>
            </w:r>
          </w:p>
        </w:tc>
        <w:tc>
          <w:tcPr>
            <w:shd w:fill="ffffff" w:val="clear"/>
            <w:tcMar>
              <w:top w:w="20.0" w:type="dxa"/>
              <w:left w:w="20.0" w:type="dxa"/>
              <w:right w:w="20.0" w:type="dxa"/>
            </w:tcMar>
            <w:vAlign w:val="bottom"/>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Erlotinib Gefitinib</w:t>
            </w:r>
          </w:p>
        </w:tc>
        <w:tc>
          <w:tcPr>
            <w:shd w:fill="ffffff" w:val="clear"/>
            <w:tcMar>
              <w:top w:w="20.0" w:type="dxa"/>
              <w:left w:w="20.0" w:type="dxa"/>
              <w:right w:w="20.0" w:type="dxa"/>
            </w:tcMar>
            <w:vAlign w:val="bottom"/>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B</w:t>
            </w:r>
          </w:p>
        </w:tc>
        <w:tc>
          <w:tcPr>
            <w:shd w:fill="ffffff" w:val="clear"/>
            <w:tcMar>
              <w:top w:w="20.0" w:type="dxa"/>
              <w:left w:w="20.0" w:type="dxa"/>
              <w:right w:w="20.0" w:type="dxa"/>
            </w:tcMar>
            <w:vAlign w:val="bottom"/>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non-small cell lung cancer</w:t>
            </w:r>
          </w:p>
        </w:tc>
        <w:tc>
          <w:tcPr>
            <w:shd w:fill="ffffff" w:val="clear"/>
            <w:tcMar>
              <w:top w:w="20.0" w:type="dxa"/>
              <w:left w:w="20.0" w:type="dxa"/>
              <w:right w:w="20.0" w:type="dxa"/>
            </w:tcMar>
            <w:vAlign w:val="bottom"/>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None</w:t>
            </w:r>
          </w:p>
        </w:tc>
      </w:tr>
      <w:tr>
        <w:trPr>
          <w:cantSplit w:val="0"/>
          <w:tblHeader w:val="0"/>
        </w:trPr>
        <w:tc>
          <w:tcPr>
            <w:shd w:fill="ffffff" w:val="clear"/>
            <w:tcMar>
              <w:top w:w="20.0" w:type="dxa"/>
              <w:left w:w="20.0" w:type="dxa"/>
              <w:right w:w="20.0" w:type="dxa"/>
            </w:tcMar>
            <w:vAlign w:val="bottom"/>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tumor318</w:t>
            </w:r>
          </w:p>
        </w:tc>
        <w:tc>
          <w:tcPr>
            <w:shd w:fill="ffffff" w:val="clear"/>
            <w:tcMar>
              <w:top w:w="20.0" w:type="dxa"/>
              <w:left w:w="20.0" w:type="dxa"/>
              <w:right w:w="20.0" w:type="dxa"/>
            </w:tcMar>
            <w:vAlign w:val="bottom"/>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7_ABCB1_87160618_A_T</w:t>
            </w:r>
          </w:p>
        </w:tc>
        <w:tc>
          <w:tcPr>
            <w:shd w:fill="ffffff" w:val="clear"/>
            <w:tcMar>
              <w:top w:w="20.0" w:type="dxa"/>
              <w:left w:w="20.0" w:type="dxa"/>
              <w:right w:w="20.0" w:type="dxa"/>
            </w:tcMar>
            <w:vAlign w:val="bottom"/>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S893T</w:t>
            </w:r>
          </w:p>
        </w:tc>
        <w:tc>
          <w:tcPr>
            <w:shd w:fill="ffffff" w:val="clear"/>
            <w:tcMar>
              <w:top w:w="20.0" w:type="dxa"/>
              <w:left w:w="20.0" w:type="dxa"/>
              <w:right w:w="20.0" w:type="dxa"/>
            </w:tcMar>
            <w:vAlign w:val="bottom"/>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Paclitaxel</w:t>
            </w:r>
          </w:p>
        </w:tc>
        <w:tc>
          <w:tcPr>
            <w:shd w:fill="ffffff" w:val="clear"/>
            <w:tcMar>
              <w:top w:w="20.0" w:type="dxa"/>
              <w:left w:w="20.0" w:type="dxa"/>
              <w:right w:w="20.0" w:type="dxa"/>
            </w:tcMar>
            <w:vAlign w:val="bottom"/>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B</w:t>
            </w:r>
          </w:p>
        </w:tc>
        <w:tc>
          <w:tcPr>
            <w:shd w:fill="ffffff" w:val="clear"/>
            <w:tcMar>
              <w:top w:w="20.0" w:type="dxa"/>
              <w:left w:w="20.0" w:type="dxa"/>
              <w:right w:w="20.0" w:type="dxa"/>
            </w:tcMar>
            <w:vAlign w:val="bottom"/>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neoplasm of ovary</w:t>
            </w:r>
          </w:p>
        </w:tc>
        <w:tc>
          <w:tcPr>
            <w:shd w:fill="ffffff" w:val="clear"/>
            <w:tcMar>
              <w:top w:w="20.0" w:type="dxa"/>
              <w:left w:w="20.0" w:type="dxa"/>
              <w:right w:w="20.0" w:type="dxa"/>
            </w:tcMar>
            <w:vAlign w:val="bottom"/>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None</w:t>
            </w:r>
          </w:p>
        </w:tc>
      </w:tr>
      <w:tr>
        <w:trPr>
          <w:cantSplit w:val="0"/>
          <w:tblHeader w:val="0"/>
        </w:trPr>
        <w:tc>
          <w:tcPr>
            <w:shd w:fill="ffffff" w:val="clear"/>
            <w:tcMar>
              <w:top w:w="20.0" w:type="dxa"/>
              <w:left w:w="20.0" w:type="dxa"/>
              <w:right w:w="20.0" w:type="dxa"/>
            </w:tcMar>
            <w:vAlign w:val="bottom"/>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tumor356</w:t>
            </w:r>
          </w:p>
        </w:tc>
        <w:tc>
          <w:tcPr>
            <w:shd w:fill="ffffff" w:val="clear"/>
            <w:tcMar>
              <w:top w:w="20.0" w:type="dxa"/>
              <w:left w:w="20.0" w:type="dxa"/>
              <w:right w:w="20.0" w:type="dxa"/>
            </w:tcMar>
            <w:vAlign w:val="bottom"/>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7_ABCB1_87138645_A_G</w:t>
            </w:r>
          </w:p>
        </w:tc>
        <w:tc>
          <w:tcPr>
            <w:shd w:fill="ffffff" w:val="clear"/>
            <w:tcMar>
              <w:top w:w="20.0" w:type="dxa"/>
              <w:left w:w="20.0" w:type="dxa"/>
              <w:right w:w="20.0" w:type="dxa"/>
            </w:tcMar>
            <w:vAlign w:val="bottom"/>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I1145I</w:t>
            </w:r>
          </w:p>
        </w:tc>
        <w:tc>
          <w:tcPr>
            <w:shd w:fill="ffffff" w:val="clear"/>
            <w:tcMar>
              <w:top w:w="20.0" w:type="dxa"/>
              <w:left w:w="20.0" w:type="dxa"/>
              <w:right w:w="20.0" w:type="dxa"/>
            </w:tcMar>
            <w:vAlign w:val="bottom"/>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Carboplatin Cisplatin</w:t>
            </w:r>
          </w:p>
        </w:tc>
        <w:tc>
          <w:tcPr>
            <w:shd w:fill="ffffff" w:val="clear"/>
            <w:tcMar>
              <w:top w:w="20.0" w:type="dxa"/>
              <w:left w:w="20.0" w:type="dxa"/>
              <w:right w:w="20.0" w:type="dxa"/>
            </w:tcMar>
            <w:vAlign w:val="bottom"/>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B</w:t>
            </w:r>
          </w:p>
        </w:tc>
        <w:tc>
          <w:tcPr>
            <w:shd w:fill="ffffff" w:val="clear"/>
            <w:tcMar>
              <w:top w:w="20.0" w:type="dxa"/>
              <w:left w:w="20.0" w:type="dxa"/>
              <w:right w:w="20.0" w:type="dxa"/>
            </w:tcMar>
            <w:vAlign w:val="bottom"/>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non-small cell lung cancer</w:t>
            </w:r>
          </w:p>
        </w:tc>
        <w:tc>
          <w:tcPr>
            <w:shd w:fill="ffffff" w:val="clear"/>
            <w:tcMar>
              <w:top w:w="20.0" w:type="dxa"/>
              <w:left w:w="20.0" w:type="dxa"/>
              <w:right w:w="20.0" w:type="dxa"/>
            </w:tcMar>
            <w:vAlign w:val="bottom"/>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None</w:t>
            </w:r>
          </w:p>
        </w:tc>
      </w:tr>
    </w:tbl>
    <w:p w:rsidR="00000000" w:rsidDel="00000000" w:rsidP="00000000" w:rsidRDefault="00000000" w:rsidRPr="00000000" w14:paraId="00000116">
      <w:pPr>
        <w:pStyle w:val="Heading1"/>
        <w:spacing w:line="480" w:lineRule="auto"/>
        <w:rPr>
          <w:b w:val="1"/>
          <w:sz w:val="32"/>
          <w:szCs w:val="32"/>
        </w:rPr>
      </w:pPr>
      <w:bookmarkStart w:colFirst="0" w:colLast="0" w:name="_qqjlrxh43cxx" w:id="6"/>
      <w:bookmarkEnd w:id="6"/>
      <w:r w:rsidDel="00000000" w:rsidR="00000000" w:rsidRPr="00000000">
        <w:rPr>
          <w:rtl w:val="0"/>
        </w:rPr>
      </w:r>
    </w:p>
    <w:p w:rsidR="00000000" w:rsidDel="00000000" w:rsidP="00000000" w:rsidRDefault="00000000" w:rsidRPr="00000000" w14:paraId="00000117">
      <w:pPr>
        <w:spacing w:line="360" w:lineRule="auto"/>
        <w:rPr/>
      </w:pPr>
      <w:r w:rsidDel="00000000" w:rsidR="00000000" w:rsidRPr="00000000">
        <w:rPr>
          <w:b w:val="1"/>
          <w:rtl w:val="0"/>
        </w:rPr>
        <w:t xml:space="preserve">*</w:t>
      </w:r>
      <w:r w:rsidDel="00000000" w:rsidR="00000000" w:rsidRPr="00000000">
        <w:rPr>
          <w:rtl w:val="0"/>
        </w:rPr>
        <w:t xml:space="preserve"> C</w:t>
      </w:r>
      <w:r w:rsidDel="00000000" w:rsidR="00000000" w:rsidRPr="00000000">
        <w:rPr>
          <w:rtl w:val="0"/>
        </w:rPr>
        <w:t xml:space="preserve">ompelling clinical evidence supports the biomarker as being predictive of response to a drug in this indication but neither biomarker and drug are standard of care</w:t>
      </w:r>
    </w:p>
    <w:p w:rsidR="00000000" w:rsidDel="00000000" w:rsidP="00000000" w:rsidRDefault="00000000" w:rsidRPr="00000000" w14:paraId="00000118">
      <w:pPr>
        <w:spacing w:line="360" w:lineRule="auto"/>
        <w:rPr>
          <w:b w:val="1"/>
          <w:sz w:val="32"/>
          <w:szCs w:val="32"/>
        </w:rPr>
      </w:pPr>
      <w:r w:rsidDel="00000000" w:rsidR="00000000" w:rsidRPr="00000000">
        <w:rPr>
          <w:b w:val="1"/>
          <w:rtl w:val="0"/>
        </w:rPr>
        <w:t xml:space="preserve">** </w:t>
      </w:r>
      <w:r w:rsidDel="00000000" w:rsidR="00000000" w:rsidRPr="00000000">
        <w:rPr>
          <w:rtl w:val="0"/>
        </w:rPr>
        <w:t xml:space="preserve">Standard of care biomarker predictive of resistance to an FDA-approved drug in this indication</w:t>
      </w: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spacing w:line="276" w:lineRule="auto"/>
        <w:rPr>
          <w:rFonts w:ascii="Arimo" w:cs="Arimo" w:eastAsia="Arimo" w:hAnsi="Arimo"/>
          <w:sz w:val="24"/>
          <w:szCs w:val="24"/>
        </w:rPr>
      </w:pPr>
      <w:bookmarkStart w:colFirst="0" w:colLast="0" w:name="_gbcg337nbcvt" w:id="7"/>
      <w:bookmarkEnd w:id="7"/>
      <w:r w:rsidDel="00000000" w:rsidR="00000000" w:rsidRPr="00000000">
        <w:rPr>
          <w:b w:val="1"/>
          <w:sz w:val="32"/>
          <w:szCs w:val="32"/>
          <w:rtl w:val="0"/>
        </w:rPr>
        <w:t xml:space="preserve">Supplementary Table S6: Filters used for FMI tumor interpretation</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Filter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Arimo" w:cs="Arimo" w:eastAsia="Arimo" w:hAnsi="Arimo"/>
                <w:sz w:val="24"/>
                <w:szCs w:val="24"/>
              </w:rPr>
            </w:pPr>
            <w:r w:rsidDel="00000000" w:rsidR="00000000" w:rsidRPr="00000000">
              <w:rPr>
                <w:rFonts w:ascii="Arimo" w:cs="Arimo" w:eastAsia="Arimo" w:hAnsi="Arimo"/>
                <w:sz w:val="24"/>
                <w:szCs w:val="24"/>
                <w:rtl w:val="0"/>
              </w:rPr>
              <w:t xml:space="preserve">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Arimo" w:cs="Arimo" w:eastAsia="Arimo" w:hAnsi="Arimo"/>
                <w:sz w:val="24"/>
                <w:szCs w:val="24"/>
              </w:rPr>
            </w:pPr>
            <w:r w:rsidDel="00000000" w:rsidR="00000000" w:rsidRPr="00000000">
              <w:rPr>
                <w:rFonts w:ascii="Arial Unicode MS" w:cs="Arial Unicode MS" w:eastAsia="Arial Unicode MS" w:hAnsi="Arial Unicode MS"/>
                <w:sz w:val="24"/>
                <w:szCs w:val="24"/>
                <w:rtl w:val="0"/>
              </w:rPr>
              <w:t xml:space="preserve">≥ 10x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Arimo" w:cs="Arimo" w:eastAsia="Arimo" w:hAnsi="Arimo"/>
                <w:sz w:val="24"/>
                <w:szCs w:val="24"/>
              </w:rPr>
            </w:pPr>
            <w:r w:rsidDel="00000000" w:rsidR="00000000" w:rsidRPr="00000000">
              <w:rPr>
                <w:rFonts w:ascii="Arimo" w:cs="Arimo" w:eastAsia="Arimo" w:hAnsi="Arimo"/>
                <w:sz w:val="24"/>
                <w:szCs w:val="24"/>
                <w:rtl w:val="0"/>
              </w:rPr>
              <w:t xml:space="preserve">VAF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Arimo" w:cs="Arimo" w:eastAsia="Arimo" w:hAnsi="Arimo"/>
                <w:sz w:val="24"/>
                <w:szCs w:val="24"/>
              </w:rPr>
            </w:pPr>
            <w:r w:rsidDel="00000000" w:rsidR="00000000" w:rsidRPr="00000000">
              <w:rPr>
                <w:rFonts w:ascii="Arial Unicode MS" w:cs="Arial Unicode MS" w:eastAsia="Arial Unicode MS" w:hAnsi="Arial Unicode MS"/>
                <w:sz w:val="24"/>
                <w:szCs w:val="24"/>
                <w:rtl w:val="0"/>
              </w:rPr>
              <w:t xml:space="preserv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Arimo" w:cs="Arimo" w:eastAsia="Arimo" w:hAnsi="Arimo"/>
                <w:sz w:val="24"/>
                <w:szCs w:val="24"/>
              </w:rPr>
            </w:pPr>
            <w:r w:rsidDel="00000000" w:rsidR="00000000" w:rsidRPr="00000000">
              <w:rPr>
                <w:rFonts w:ascii="Arimo" w:cs="Arimo" w:eastAsia="Arimo" w:hAnsi="Arimo"/>
                <w:sz w:val="24"/>
                <w:szCs w:val="24"/>
                <w:rtl w:val="0"/>
              </w:rPr>
              <w:t xml:space="preserve">Allele strand 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Arimo" w:cs="Arimo" w:eastAsia="Arimo" w:hAnsi="Arimo"/>
                <w:sz w:val="24"/>
                <w:szCs w:val="24"/>
              </w:rPr>
            </w:pPr>
            <w:r w:rsidDel="00000000" w:rsidR="00000000" w:rsidRPr="00000000">
              <w:rPr>
                <w:rFonts w:ascii="Arial Unicode MS" w:cs="Arial Unicode MS" w:eastAsia="Arial Unicode MS" w:hAnsi="Arial Unicode MS"/>
                <w:sz w:val="24"/>
                <w:szCs w:val="24"/>
                <w:rtl w:val="0"/>
              </w:rPr>
              <w:t xml:space="preserve">≥ 10/90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Arimo" w:cs="Arimo" w:eastAsia="Arimo" w:hAnsi="Arimo"/>
                <w:sz w:val="24"/>
                <w:szCs w:val="24"/>
              </w:rPr>
            </w:pPr>
            <w:r w:rsidDel="00000000" w:rsidR="00000000" w:rsidRPr="00000000">
              <w:rPr>
                <w:rFonts w:ascii="Arimo" w:cs="Arimo" w:eastAsia="Arimo" w:hAnsi="Arimo"/>
                <w:sz w:val="24"/>
                <w:szCs w:val="24"/>
                <w:rtl w:val="0"/>
              </w:rPr>
              <w:t xml:space="preserve">Population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Arimo" w:cs="Arimo" w:eastAsia="Arimo" w:hAnsi="Arimo"/>
                <w:sz w:val="24"/>
                <w:szCs w:val="24"/>
              </w:rPr>
            </w:pPr>
            <w:r w:rsidDel="00000000" w:rsidR="00000000" w:rsidRPr="00000000">
              <w:rPr>
                <w:rFonts w:ascii="Arial Unicode MS" w:cs="Arial Unicode MS" w:eastAsia="Arial Unicode MS" w:hAnsi="Arial Unicode MS"/>
                <w:sz w:val="24"/>
                <w:szCs w:val="24"/>
                <w:rtl w:val="0"/>
              </w:rPr>
              <w:t xml:space="preserve">≤ 0.01%</w:t>
            </w:r>
          </w:p>
        </w:tc>
      </w:tr>
    </w:tbl>
    <w:p w:rsidR="00000000" w:rsidDel="00000000" w:rsidP="00000000" w:rsidRDefault="00000000" w:rsidRPr="00000000" w14:paraId="00000124">
      <w:pPr>
        <w:pStyle w:val="Heading1"/>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1"/>
        <w:spacing w:line="276" w:lineRule="auto"/>
        <w:rPr>
          <w:b w:val="1"/>
          <w:sz w:val="32"/>
          <w:szCs w:val="32"/>
        </w:rPr>
      </w:pPr>
      <w:bookmarkStart w:colFirst="0" w:colLast="0" w:name="_mxdwmrkpmijp" w:id="8"/>
      <w:bookmarkEnd w:id="8"/>
      <w:r w:rsidDel="00000000" w:rsidR="00000000" w:rsidRPr="00000000">
        <w:rPr>
          <w:b w:val="1"/>
          <w:sz w:val="32"/>
          <w:szCs w:val="32"/>
        </w:rPr>
        <w:drawing>
          <wp:inline distB="19050" distT="19050" distL="19050" distR="19050">
            <wp:extent cx="5731200" cy="212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1"/>
        <w:spacing w:line="276" w:lineRule="auto"/>
        <w:rPr>
          <w:b w:val="1"/>
          <w:sz w:val="32"/>
          <w:szCs w:val="32"/>
        </w:rPr>
      </w:pPr>
      <w:bookmarkStart w:colFirst="0" w:colLast="0" w:name="_cwblfjfq9b5o" w:id="9"/>
      <w:bookmarkEnd w:id="9"/>
      <w:r w:rsidDel="00000000" w:rsidR="00000000" w:rsidRPr="00000000">
        <w:rPr>
          <w:b w:val="1"/>
          <w:sz w:val="32"/>
          <w:szCs w:val="32"/>
          <w:rtl w:val="0"/>
        </w:rPr>
        <w:t xml:space="preserve">Supplementary Figure S1: Cancer gene role distribution among genes of laboratory panel</w:t>
      </w:r>
    </w:p>
    <w:p w:rsidR="00000000" w:rsidDel="00000000" w:rsidP="00000000" w:rsidRDefault="00000000" w:rsidRPr="00000000" w14:paraId="00000127">
      <w:pPr>
        <w:spacing w:line="480" w:lineRule="auto"/>
        <w:jc w:val="both"/>
        <w:rPr/>
      </w:pPr>
      <w:r w:rsidDel="00000000" w:rsidR="00000000" w:rsidRPr="00000000">
        <w:rPr>
          <w:sz w:val="24"/>
          <w:szCs w:val="24"/>
          <w:rtl w:val="0"/>
        </w:rPr>
        <w:t xml:space="preserve">We utilized resources such as COSMIC Cancer Gene Census, Vogelstein, Cancermine, ONGene, TCGA, TSGDatabase, JaxCKB, and OncoKB for the annotations of TSG and Oncogenes. It's important to note that a single gene can fall into multiple categories. For the identification of genes implicated in oncogenic fusions, we specifically referred to the annotations provided by the COSMIC Cancer Gene Census. Unknown status is given for genes without any annotation in these databases.</w:t>
      </w:r>
      <w:r w:rsidDel="00000000" w:rsidR="00000000" w:rsidRPr="00000000">
        <w:rPr>
          <w:rtl w:val="0"/>
        </w:rPr>
      </w:r>
    </w:p>
    <w:p w:rsidR="00000000" w:rsidDel="00000000" w:rsidP="00000000" w:rsidRDefault="00000000" w:rsidRPr="00000000" w14:paraId="00000128">
      <w:pPr>
        <w:pStyle w:val="Heading1"/>
        <w:spacing w:line="276" w:lineRule="auto"/>
        <w:rPr>
          <w:b w:val="1"/>
          <w:sz w:val="32"/>
          <w:szCs w:val="32"/>
        </w:rPr>
      </w:pPr>
      <w:bookmarkStart w:colFirst="0" w:colLast="0" w:name="_axzfbttr3emt" w:id="10"/>
      <w:bookmarkEnd w:id="10"/>
      <w:r w:rsidDel="00000000" w:rsidR="00000000" w:rsidRPr="00000000">
        <w:rPr>
          <w:b w:val="1"/>
          <w:sz w:val="32"/>
          <w:szCs w:val="32"/>
        </w:rPr>
        <w:drawing>
          <wp:inline distB="19050" distT="19050" distL="19050" distR="19050">
            <wp:extent cx="5731200" cy="2349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Style w:val="Heading1"/>
        <w:spacing w:line="276" w:lineRule="auto"/>
        <w:rPr>
          <w:b w:val="1"/>
          <w:sz w:val="32"/>
          <w:szCs w:val="32"/>
        </w:rPr>
      </w:pPr>
      <w:bookmarkStart w:colFirst="0" w:colLast="0" w:name="_ajap0bxrk5dl" w:id="11"/>
      <w:bookmarkEnd w:id="11"/>
      <w:r w:rsidDel="00000000" w:rsidR="00000000" w:rsidRPr="00000000">
        <w:rPr>
          <w:b w:val="1"/>
          <w:sz w:val="32"/>
          <w:szCs w:val="32"/>
          <w:rtl w:val="0"/>
        </w:rPr>
        <w:t xml:space="preserve">Supplementary Figure S2: Therapeutic database heterogeneity</w:t>
      </w:r>
    </w:p>
    <w:p w:rsidR="00000000" w:rsidDel="00000000" w:rsidP="00000000" w:rsidRDefault="00000000" w:rsidRPr="00000000" w14:paraId="0000012A">
      <w:pPr>
        <w:spacing w:line="480" w:lineRule="auto"/>
        <w:jc w:val="both"/>
        <w:rPr>
          <w:b w:val="1"/>
          <w:sz w:val="32"/>
          <w:szCs w:val="32"/>
        </w:rPr>
      </w:pPr>
      <w:r w:rsidDel="00000000" w:rsidR="00000000" w:rsidRPr="00000000">
        <w:rPr>
          <w:sz w:val="23"/>
          <w:szCs w:val="23"/>
          <w:rtl w:val="0"/>
        </w:rPr>
        <w:t xml:space="preserve">This figure illustrates the diversity within our therapeutic database, as depicted by an upset plot. The bar chart on the lower left shows the total count of drugs per database. The lower section of the plot represents a specific intersection of databases. The upper section displays the count of drugs that intersect with the database selected in the lower section. Blue bars signify each intersection that involves DrugOrder, while the sea-blue bars represent intersections that exclude DrugOrder.</w:t>
      </w: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spacing w:line="276" w:lineRule="auto"/>
        <w:rPr>
          <w:b w:val="1"/>
          <w:sz w:val="32"/>
          <w:szCs w:val="32"/>
        </w:rPr>
      </w:pPr>
      <w:bookmarkStart w:colFirst="0" w:colLast="0" w:name="_c2x2p2zdpqos" w:id="12"/>
      <w:bookmarkEnd w:id="12"/>
      <w:r w:rsidDel="00000000" w:rsidR="00000000" w:rsidRPr="00000000">
        <w:rPr>
          <w:b w:val="1"/>
          <w:sz w:val="32"/>
          <w:szCs w:val="32"/>
        </w:rPr>
        <w:drawing>
          <wp:inline distB="114300" distT="114300" distL="114300" distR="114300">
            <wp:extent cx="5731200" cy="6807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Style w:val="Heading1"/>
        <w:spacing w:line="276" w:lineRule="auto"/>
        <w:rPr>
          <w:b w:val="1"/>
          <w:sz w:val="32"/>
          <w:szCs w:val="32"/>
        </w:rPr>
      </w:pPr>
      <w:bookmarkStart w:colFirst="0" w:colLast="0" w:name="_2z8yut13ecy7" w:id="13"/>
      <w:bookmarkEnd w:id="13"/>
      <w:r w:rsidDel="00000000" w:rsidR="00000000" w:rsidRPr="00000000">
        <w:rPr>
          <w:b w:val="1"/>
          <w:sz w:val="32"/>
          <w:szCs w:val="32"/>
          <w:rtl w:val="0"/>
        </w:rPr>
        <w:t xml:space="preserve">Supplementary Figure S3: Heatmap of the 20 best DOscored variants on patient without conclusions in clinical reports</w:t>
      </w:r>
    </w:p>
    <w:p w:rsidR="00000000" w:rsidDel="00000000" w:rsidP="00000000" w:rsidRDefault="00000000" w:rsidRPr="00000000" w14:paraId="0000012D">
      <w:pPr>
        <w:spacing w:line="480" w:lineRule="auto"/>
        <w:jc w:val="both"/>
        <w:rPr>
          <w:sz w:val="24"/>
          <w:szCs w:val="24"/>
        </w:rPr>
      </w:pPr>
      <w:r w:rsidDel="00000000" w:rsidR="00000000" w:rsidRPr="00000000">
        <w:rPr>
          <w:sz w:val="24"/>
          <w:szCs w:val="24"/>
          <w:rtl w:val="0"/>
        </w:rPr>
        <w:t xml:space="preserve">The first column on the left illustrates the variant type, with SNV in blue, CNV in sea-blue, and fusion in red. The columns within the heatmap represent the DOscore and its corresponding tiers. DOscore is normalized based on the highest sample DOscore, while framework part tier scores are normalized based on the best framework part tier score. The heatmap is divided into three distinct clusters, each determined by the sample DOscore.</w:t>
      </w:r>
      <w:r w:rsidDel="00000000" w:rsidR="00000000" w:rsidRPr="00000000">
        <w:rPr>
          <w:rtl w:val="0"/>
        </w:rPr>
      </w:r>
    </w:p>
    <w:sectPr>
      <w:pgSz w:h="16834" w:w="11909" w:orient="portrait"/>
      <w:pgMar w:bottom="1440" w:top="1440" w:left="1440" w:right="1440" w:header="720" w:footer="720"/>
      <w:lnNumType w:countBy="1" w:start="0" w:restart="continuous"/>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