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Android Device Screen Lock Password Threat Scan Policy - Allow All Apps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8352"/>
      </w:tblGrid>
      <w:tr>
        <w:trPr>
          <w:cantSplit/>
        </w:trPr>
        <w:tc>
          <w:tcPr>
            <w:tcW w:type="dxa" w:w="4968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49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Android Enterprise - Personally Owned Work Profile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</w:rPr>
              <w:t>Policy type</w:t>
            </w:r>
          </w:p>
        </w:tc>
        <w:tc>
          <w:tcPr>
            <w:tcW w:type="dxa" w:w="49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Device Configuration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</w:rPr>
              <w:t>Deployment state</w:t>
            </w:r>
          </w:p>
        </w:tc>
        <w:tc>
          <w:tcPr>
            <w:tcW w:type="dxa" w:w="49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Created but unassigned; technician determines assignment based on the client environment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</w:rPr>
              <w:t>Approval posture</w:t>
            </w:r>
          </w:p>
        </w:tc>
        <w:tc>
          <w:tcPr>
            <w:tcW w:type="dxa" w:w="49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Recommended baseline / low-friction BYOD security</w:t>
            </w:r>
          </w:p>
        </w:tc>
      </w:tr>
    </w:tbl>
    <w:p>
      <w:pPr>
        <w:pStyle w:val="Heading1"/>
      </w:pPr>
      <w:r>
        <w:t>Executive Summary</w:t>
      </w:r>
    </w:p>
    <w:p>
      <w:r>
        <w:t>This policy establishes a baseline security configuration for personally owned Android devices that access corporate resources through an Android Enterprise work profile.</w:t>
      </w:r>
    </w:p>
    <w:p>
      <w:r>
        <w:t>It intentionally uses a relatively permissive application and data-sharing model while enforcing a core security control: Android application threat scanning must remain enabled. The policy does not require users to maintain a separate work-profile password; phone-lock and encryption requirements are handled by the corresponding Android compliance policy.</w:t>
      </w:r>
    </w:p>
    <w:p>
      <w:r>
        <w:t>The objective is to protect the corporate work profile without unnecessarily restricting how users operate their personal devices.</w:t>
      </w:r>
    </w:p>
    <w:p>
      <w:pPr>
        <w:pStyle w:val="Heading1"/>
      </w:pPr>
      <w:r>
        <w:t>What the Policy Does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736"/>
            <w:vAlign w:val="center"/>
            <w:shd w:fill="D9EAF7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2448"/>
            <w:vAlign w:val="center"/>
            <w:shd w:fill="D9EAF7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5472"/>
            <w:vAlign w:val="center"/>
            <w:shd w:fill="D9EAF7"/>
          </w:tcPr>
          <w:p>
            <w:r>
              <w:rPr>
                <w:b/>
              </w:rPr>
              <w:t>Business effect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40" w:before="40"/>
            </w:pPr>
            <w:r>
              <w:t>Work/personal data sharing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t>Device default</w:t>
            </w:r>
          </w:p>
        </w:tc>
        <w:tc>
          <w:tcPr>
            <w:tcW w:type="dxa" w:w="5472"/>
            <w:vAlign w:val="center"/>
          </w:tcPr>
          <w:p>
            <w:pPr>
              <w:spacing w:after="40" w:before="40"/>
            </w:pPr>
            <w:r>
              <w:t>Does not impose additional restrictions on cross-profile data sharing.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40" w:before="40"/>
            </w:pPr>
            <w:r>
              <w:t>Application permissions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t>Auto grant</w:t>
            </w:r>
          </w:p>
        </w:tc>
        <w:tc>
          <w:tcPr>
            <w:tcW w:type="dxa" w:w="5472"/>
            <w:vAlign w:val="center"/>
          </w:tcPr>
          <w:p>
            <w:pPr>
              <w:spacing w:after="40" w:before="40"/>
            </w:pPr>
            <w:r>
              <w:t>Reduces user prompts and simplifies deployment of managed applications.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40" w:before="40"/>
            </w:pPr>
            <w:r>
              <w:t>Additional accounts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t>Allowed except Google accounts</w:t>
            </w:r>
          </w:p>
        </w:tc>
        <w:tc>
          <w:tcPr>
            <w:tcW w:type="dxa" w:w="5472"/>
            <w:vAlign w:val="center"/>
          </w:tcPr>
          <w:p>
            <w:pPr>
              <w:spacing w:after="40" w:before="40"/>
            </w:pPr>
            <w:r>
              <w:t>Allows normal account use while maintaining the Android Enterprise work-profile boundary.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40" w:before="40"/>
            </w:pPr>
            <w:r>
              <w:t>Separate work-profile password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t>Not required</w:t>
            </w:r>
          </w:p>
        </w:tc>
        <w:tc>
          <w:tcPr>
            <w:tcW w:type="dxa" w:w="5472"/>
            <w:vAlign w:val="center"/>
          </w:tcPr>
          <w:p>
            <w:pPr>
              <w:spacing w:after="40" w:before="40"/>
            </w:pPr>
            <w:r>
              <w:t>Users do not need an additional PIN or password solely for the work profile.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40" w:before="40"/>
            </w:pPr>
            <w:r>
              <w:t>App threat scanning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t>Required</w:t>
            </w:r>
          </w:p>
        </w:tc>
        <w:tc>
          <w:tcPr>
            <w:tcW w:type="dxa" w:w="5472"/>
            <w:vAlign w:val="center"/>
          </w:tcPr>
          <w:p>
            <w:pPr>
              <w:spacing w:after="40" w:before="40"/>
            </w:pPr>
            <w:r>
              <w:t>Requires Android application verification and threat scanning.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40" w:before="40"/>
            </w:pPr>
            <w:r>
              <w:t>Storage encryption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t>Evaluated by compliance policy</w:t>
            </w:r>
          </w:p>
        </w:tc>
        <w:tc>
          <w:tcPr>
            <w:tcW w:type="dxa" w:w="5472"/>
            <w:vAlign w:val="center"/>
          </w:tcPr>
          <w:p>
            <w:pPr>
              <w:spacing w:after="40" w:before="40"/>
            </w:pPr>
            <w:r>
              <w:t>Avoids duplicating a control that is handled through device compliance.</w:t>
            </w:r>
          </w:p>
        </w:tc>
      </w:tr>
    </w:tbl>
    <w:p>
      <w:pPr>
        <w:pStyle w:val="Heading1"/>
      </w:pPr>
      <w:r>
        <w:t>How It Works</w:t>
      </w:r>
    </w:p>
    <w:p>
      <w:r>
        <w:t>The policy is deployed through Microsoft Intune to Android Enterprise personally owned work-profile devices. The work profile creates a logically separated corporate workspace on the user's personal device, allowing the organization to manage corporate applications and data without managing the entire personal side of the phone.</w:t>
      </w:r>
    </w:p>
    <w:p>
      <w:r>
        <w:t>The policy requires Android's application verification capability through the securityRequireVerifyApps setting. This is intended to ensure application threat scanning remains available rather than allowing that capability to be disabled.</w:t>
      </w:r>
    </w:p>
    <w:p>
      <w:r>
        <w:t>Operationally, the deployment script creates or updates the policy, validates the resulting configuration, and does not assign the policy to users, groups, or devices. Assignment remains a technician decision based on the individual client environment.</w:t>
      </w:r>
    </w:p>
    <w:p>
      <w:pPr>
        <w:pStyle w:val="Heading1"/>
      </w:pPr>
      <w:r>
        <w:t>Why This Policy Is Important</w:t>
      </w:r>
    </w:p>
    <w:p>
      <w:r>
        <w:t>The principal value is secure BYOD enablement without excessive control of an employee's personal device. The Android Enterprise work-profile model separates corporate and personal data, allowing the organization to protect business information while keeping management scoped to the work profile.</w:t>
      </w:r>
    </w:p>
    <w:p>
      <w:r>
        <w:t>Requiring application threat scanning adds a baseline malware-protection control while keeping the remainder of this policy intentionally permissive.</w:t>
      </w:r>
    </w:p>
    <w:p>
      <w:r>
        <w:t>The design also separates configuration from compliance: this policy configures work-profile behavior, the Android compliance policy evaluates phone lock and encryption requirements, and Conditional Access can subsequently use compliance status when deciding whether to permit access to corporate resources.</w:t>
      </w:r>
    </w:p>
    <w:p>
      <w:pPr>
        <w:pStyle w:val="Heading1"/>
      </w:pPr>
      <w:r>
        <w:t>User Impact</w:t>
      </w:r>
    </w:p>
    <w:p>
      <w:r>
        <w:rPr>
          <w:b/>
        </w:rPr>
        <w:t>Expected impact: Low.</w:t>
      </w:r>
      <w:r/>
    </w:p>
    <w:p>
      <w:r>
        <w:t>Users retain normal use of their personal device and are not required to create a separate work-profile password. The primary visible change is the presence of the managed Android work profile; most of the policy operates in the background.</w:t>
      </w:r>
    </w:p>
    <w:p>
      <w:r>
        <w:t>Because this is the Allow All Apps variant, it is intended for clients that do not require aggressive work/personal data-transfer restrictions.</w:t>
      </w:r>
    </w:p>
    <w:p>
      <w:pPr>
        <w:pStyle w:val="Heading1"/>
      </w:pPr>
      <w:r>
        <w:t>Security Posture</w:t>
      </w:r>
    </w:p>
    <w:p>
      <w:r>
        <w:rPr>
          <w:b/>
        </w:rPr>
        <w:t>Baseline / Low-friction BYOD security.</w:t>
      </w:r>
      <w:r/>
    </w:p>
    <w:p>
      <w:r>
        <w:t>This policy provides foundational controls while prioritizing usability. Clients with stricter data-loss-prevention requirements can use a more restrictive managed-apps-only variant.</w:t>
      </w:r>
    </w:p>
    <w:p>
      <w:pPr>
        <w:pStyle w:val="Heading1"/>
      </w:pPr>
      <w:r>
        <w:t>Deployment and Assignment</w:t>
      </w:r>
    </w:p>
    <w:p>
      <w:r>
        <w:t>The script does not automatically assign this policy. A technician must determine the appropriate scope based on the client's BYOD strategy, Android enrollment model, application-protection requirements, data-loss-prevention requirements, and existing Intune configuration.</w:t>
      </w:r>
    </w:p>
    <w:p>
      <w:r>
        <w:t>This prevents a generic baseline from being applied indiscriminately across different client environments.</w:t>
      </w:r>
    </w:p>
    <w:p>
      <w:pPr>
        <w:pStyle w:val="Heading1"/>
      </w:pPr>
      <w:r>
        <w:t>Approval Recommendation</w:t>
      </w:r>
    </w:p>
    <w:p>
      <w:r>
        <w:t>Recommended for approval as a baseline Android BYOD configuration, provided it is assigned only to clients using Android Enterprise personally owned work profiles and where the permissive Allow All Apps model matches their data-protection requirements.</w:t>
      </w:r>
    </w:p>
    <w:p>
      <w:pPr>
        <w:pStyle w:val="Heading1"/>
      </w:pPr>
      <w:r>
        <w:t>Implementation Note</w:t>
      </w:r>
    </w:p>
    <w:p>
      <w:r>
        <w:t>The script contains one stale internal Graph payload description that refers to a numeric-complex work-profile password, minimum length 8, medium complexity, and a 15-minute inactivity lock. Those settings are not actually configured by the payload. The effective configuration correctly leaves the separate work-profile password unconfigured and relies on the matching compliance policy for phone-lock requirements. This text should be cleaned up before the script is treated as the final source of record.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Executive Policy Overview | Resilient 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