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Android Device Screen Lock Password Threat Scan Policy – Managed Apps Only</w:t>
      </w:r>
    </w:p>
    <w:p>
      <w:pPr>
        <w:jc w:val="center"/>
      </w:pPr>
      <w:r>
        <w:rPr>
          <w:b/>
          <w:color w:val="5A5A5A"/>
          <w:sz w:val="22"/>
        </w:rPr>
        <w:t>Executive Policy Overview | Microsoft 365 GCC High</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vAlign w:val="center"/>
            <w:shd w:fill="FFFFFF"/>
            <w:tcMar>
              <w:top w:w="90" w:type="dxa"/>
              <w:left w:w="90" w:type="dxa"/>
              <w:bottom w:w="90" w:type="dxa"/>
              <w:right w:w="90" w:type="dxa"/>
            </w:tcMar>
          </w:tcPr>
          <w:p>
            <w:r>
              <w:rPr>
                <w:b/>
              </w:rPr>
              <w:t>Platform</w:t>
            </w:r>
          </w:p>
        </w:tc>
        <w:tc>
          <w:tcPr>
            <w:tcW w:type="dxa" w:w="8568"/>
            <w:vAlign w:val="center"/>
            <w:shd w:fill="FFFFFF"/>
            <w:tcMar>
              <w:top w:w="90" w:type="dxa"/>
              <w:left w:w="90" w:type="dxa"/>
              <w:bottom w:w="90" w:type="dxa"/>
              <w:right w:w="90" w:type="dxa"/>
            </w:tcMar>
          </w:tcPr>
          <w:p>
            <w:r>
              <w:t>Android Enterprise – Personally Owned Work Profile</w:t>
            </w:r>
          </w:p>
        </w:tc>
      </w:tr>
      <w:tr>
        <w:trPr>
          <w:cantSplit/>
        </w:trPr>
        <w:tc>
          <w:tcPr>
            <w:tcW w:type="dxa" w:w="2232"/>
            <w:vAlign w:val="center"/>
            <w:shd w:fill="FFFFFF"/>
            <w:tcMar>
              <w:top w:w="90" w:type="dxa"/>
              <w:left w:w="90" w:type="dxa"/>
              <w:bottom w:w="90" w:type="dxa"/>
              <w:right w:w="90" w:type="dxa"/>
            </w:tcMar>
          </w:tcPr>
          <w:p>
            <w:r>
              <w:rPr>
                <w:b/>
              </w:rPr>
              <w:t>Cloud</w:t>
            </w:r>
          </w:p>
        </w:tc>
        <w:tc>
          <w:tcPr>
            <w:tcW w:type="dxa" w:w="8568"/>
            <w:vAlign w:val="center"/>
            <w:shd w:fill="FFFFFF"/>
            <w:tcMar>
              <w:top w:w="90" w:type="dxa"/>
              <w:left w:w="90" w:type="dxa"/>
              <w:bottom w:w="90" w:type="dxa"/>
              <w:right w:w="90" w:type="dxa"/>
            </w:tcMar>
          </w:tcPr>
          <w:p>
            <w:r>
              <w:t>Microsoft 365 GCC High</w:t>
            </w:r>
          </w:p>
        </w:tc>
      </w:tr>
      <w:tr>
        <w:trPr>
          <w:cantSplit/>
        </w:trPr>
        <w:tc>
          <w:tcPr>
            <w:tcW w:type="dxa" w:w="2232"/>
            <w:vAlign w:val="center"/>
            <w:shd w:fill="FFFFFF"/>
            <w:tcMar>
              <w:top w:w="90" w:type="dxa"/>
              <w:left w:w="90" w:type="dxa"/>
              <w:bottom w:w="90" w:type="dxa"/>
              <w:right w:w="90" w:type="dxa"/>
            </w:tcMar>
          </w:tcPr>
          <w:p>
            <w:r>
              <w:rPr>
                <w:b/>
              </w:rPr>
              <w:t>Policy Type</w:t>
            </w:r>
          </w:p>
        </w:tc>
        <w:tc>
          <w:tcPr>
            <w:tcW w:type="dxa" w:w="8568"/>
            <w:vAlign w:val="center"/>
            <w:shd w:fill="FFFFFF"/>
            <w:tcMar>
              <w:top w:w="90" w:type="dxa"/>
              <w:left w:w="90" w:type="dxa"/>
              <w:bottom w:w="90" w:type="dxa"/>
              <w:right w:w="90" w:type="dxa"/>
            </w:tcMar>
          </w:tcPr>
          <w:p>
            <w:r>
              <w:t>Device Configuration</w:t>
            </w:r>
          </w:p>
        </w:tc>
      </w:tr>
      <w:tr>
        <w:trPr>
          <w:cantSplit/>
        </w:trPr>
        <w:tc>
          <w:tcPr>
            <w:tcW w:type="dxa" w:w="2232"/>
            <w:vAlign w:val="center"/>
            <w:shd w:fill="FFFFFF"/>
            <w:tcMar>
              <w:top w:w="90" w:type="dxa"/>
              <w:left w:w="90" w:type="dxa"/>
              <w:bottom w:w="90" w:type="dxa"/>
              <w:right w:w="90" w:type="dxa"/>
            </w:tcMar>
          </w:tcPr>
          <w:p>
            <w:r>
              <w:rPr>
                <w:b/>
              </w:rPr>
              <w:t>Deployment State</w:t>
            </w:r>
          </w:p>
        </w:tc>
        <w:tc>
          <w:tcPr>
            <w:tcW w:type="dxa" w:w="8568"/>
            <w:vAlign w:val="center"/>
            <w:shd w:fill="FFFFFF"/>
            <w:tcMar>
              <w:top w:w="90" w:type="dxa"/>
              <w:left w:w="90" w:type="dxa"/>
              <w:bottom w:w="90" w:type="dxa"/>
              <w:right w:w="90" w:type="dxa"/>
            </w:tcMar>
          </w:tcPr>
          <w:p>
            <w:r>
              <w:t>Created but unassigned; assignment determined by the technician for each client environment</w:t>
            </w:r>
          </w:p>
        </w:tc>
      </w:tr>
    </w:tbl>
    <w:p>
      <w:pPr>
        <w:pStyle w:val="Heading1"/>
      </w:pPr>
      <w:r>
        <w:t>Executive Summary</w:t>
      </w:r>
    </w:p>
    <w:p>
      <w:pPr>
        <w:spacing w:after="120" w:line="259" w:lineRule="auto"/>
      </w:pPr>
      <w:r>
        <w:t>This policy establishes a more restrictive Android BYOD security configuration for personally owned devices using Android Enterprise work profiles in Microsoft 365 GCC High environments.</w:t>
      </w:r>
    </w:p>
    <w:p>
      <w:pPr>
        <w:spacing w:after="120" w:line="259" w:lineRule="auto"/>
      </w:pPr>
      <w:r>
        <w:t>Its purpose is to reduce the risk of corporate information leaving the managed work environment. It blocks copy and paste between work and personal profiles, blocks screen capture inside the work profile, and requires Android application threat scanning. It deliberately does not require a separate work-profile password; phone screen-lock and storage-encryption requirements are expected to be enforced by the corresponding Android compliance policy.</w:t>
      </w:r>
    </w:p>
    <w:p>
      <w:pPr>
        <w:spacing w:after="120" w:line="259" w:lineRule="auto"/>
      </w:pPr>
      <w:r>
        <w:t>This makes the policy appropriate for clients that need stronger separation between corporate and personal activity while maintaining a relatively low-friction BYOD experience.</w:t>
      </w:r>
    </w:p>
    <w:p>
      <w:pPr>
        <w:pStyle w:val="Heading1"/>
      </w:pPr>
      <w:r>
        <w:t>What the Policy Does</w:t>
      </w:r>
    </w:p>
    <w:tbl>
      <w:tblPr>
        <w:tblW w:type="auto" w:w="0"/>
        <w:jc w:val="center"/>
        <w:tblLayout w:type="fixed"/>
        <w:tblLook w:firstColumn="1" w:firstRow="1" w:lastColumn="0" w:lastRow="0" w:noHBand="0" w:noVBand="1" w:val="04A0"/>
      </w:tblPr>
      <w:tblGrid>
        <w:gridCol w:w="3408"/>
        <w:gridCol w:w="3408"/>
        <w:gridCol w:w="3408"/>
      </w:tblGrid>
      <w:tr>
        <w:trPr>
          <w:cantSplit/>
        </w:trPr>
        <w:tc>
          <w:tcPr>
            <w:tcW w:type="dxa" w:w="2880"/>
            <w:shd w:fill="D9EAF7"/>
          </w:tcPr>
          <w:p>
            <w:pPr>
              <w:spacing w:after="40" w:line="240" w:lineRule="auto"/>
            </w:pPr>
            <w:r>
              <w:rPr>
                <w:b/>
              </w:rPr>
              <w:t>Control</w:t>
            </w:r>
          </w:p>
        </w:tc>
        <w:tc>
          <w:tcPr>
            <w:tcW w:type="dxa" w:w="2160"/>
            <w:shd w:fill="D9EAF7"/>
          </w:tcPr>
          <w:p>
            <w:pPr>
              <w:spacing w:after="40" w:line="240" w:lineRule="auto"/>
            </w:pPr>
            <w:r>
              <w:rPr>
                <w:b/>
              </w:rPr>
              <w:t>Configuration</w:t>
            </w:r>
          </w:p>
        </w:tc>
        <w:tc>
          <w:tcPr>
            <w:tcW w:type="dxa" w:w="5760"/>
            <w:shd w:fill="D9EAF7"/>
          </w:tcPr>
          <w:p>
            <w:pPr>
              <w:spacing w:after="40" w:line="240" w:lineRule="auto"/>
            </w:pPr>
            <w:r>
              <w:rPr>
                <w:b/>
              </w:rPr>
              <w:t>Business Effect</w:t>
            </w:r>
          </w:p>
        </w:tc>
      </w:tr>
      <w:tr>
        <w:trPr>
          <w:cantSplit/>
        </w:trPr>
        <w:tc>
          <w:tcPr>
            <w:tcW w:type="dxa" w:w="2880"/>
            <w:vAlign w:val="center"/>
          </w:tcPr>
          <w:p>
            <w:pPr>
              <w:spacing w:after="40" w:line="240" w:lineRule="auto"/>
            </w:pPr>
            <w:r>
              <w:t>Cross-profile copy/paste</w:t>
            </w:r>
          </w:p>
        </w:tc>
        <w:tc>
          <w:tcPr>
            <w:tcW w:type="dxa" w:w="2160"/>
            <w:vAlign w:val="center"/>
          </w:tcPr>
          <w:p>
            <w:pPr>
              <w:spacing w:after="40" w:line="240" w:lineRule="auto"/>
            </w:pPr>
            <w:r>
              <w:t>Blocked</w:t>
            </w:r>
          </w:p>
        </w:tc>
        <w:tc>
          <w:tcPr>
            <w:tcW w:type="dxa" w:w="5760"/>
            <w:vAlign w:val="center"/>
          </w:tcPr>
          <w:p>
            <w:pPr>
              <w:spacing w:after="40" w:line="240" w:lineRule="auto"/>
            </w:pPr>
            <w:r>
              <w:t>Helps prevent corporate information from being copied into unmanaged personal applications.</w:t>
            </w:r>
          </w:p>
        </w:tc>
      </w:tr>
      <w:tr>
        <w:trPr>
          <w:cantSplit/>
        </w:trPr>
        <w:tc>
          <w:tcPr>
            <w:tcW w:type="dxa" w:w="2880"/>
            <w:vAlign w:val="center"/>
          </w:tcPr>
          <w:p>
            <w:pPr>
              <w:spacing w:after="40" w:line="240" w:lineRule="auto"/>
            </w:pPr>
            <w:r>
              <w:t>Screen capture</w:t>
            </w:r>
          </w:p>
        </w:tc>
        <w:tc>
          <w:tcPr>
            <w:tcW w:type="dxa" w:w="2160"/>
            <w:vAlign w:val="center"/>
          </w:tcPr>
          <w:p>
            <w:pPr>
              <w:spacing w:after="40" w:line="240" w:lineRule="auto"/>
            </w:pPr>
            <w:r>
              <w:t>Blocked</w:t>
            </w:r>
          </w:p>
        </w:tc>
        <w:tc>
          <w:tcPr>
            <w:tcW w:type="dxa" w:w="5760"/>
            <w:vAlign w:val="center"/>
          </w:tcPr>
          <w:p>
            <w:pPr>
              <w:spacing w:after="40" w:line="240" w:lineRule="auto"/>
            </w:pPr>
            <w:r>
              <w:t>Prevents screenshots of information displayed in the managed work profile.</w:t>
            </w:r>
          </w:p>
        </w:tc>
      </w:tr>
      <w:tr>
        <w:trPr>
          <w:cantSplit/>
        </w:trPr>
        <w:tc>
          <w:tcPr>
            <w:tcW w:type="dxa" w:w="2880"/>
            <w:vAlign w:val="center"/>
          </w:tcPr>
          <w:p>
            <w:pPr>
              <w:spacing w:after="40" w:line="240" w:lineRule="auto"/>
            </w:pPr>
            <w:r>
              <w:t>Application permissions</w:t>
            </w:r>
          </w:p>
        </w:tc>
        <w:tc>
          <w:tcPr>
            <w:tcW w:type="dxa" w:w="2160"/>
            <w:vAlign w:val="center"/>
          </w:tcPr>
          <w:p>
            <w:pPr>
              <w:spacing w:after="40" w:line="240" w:lineRule="auto"/>
            </w:pPr>
            <w:r>
              <w:t>Auto grant</w:t>
            </w:r>
          </w:p>
        </w:tc>
        <w:tc>
          <w:tcPr>
            <w:tcW w:type="dxa" w:w="5760"/>
            <w:vAlign w:val="center"/>
          </w:tcPr>
          <w:p>
            <w:pPr>
              <w:spacing w:after="40" w:line="240" w:lineRule="auto"/>
            </w:pPr>
            <w:r>
              <w:t>Reduces permission prompts and simplifies deployment of managed applications.</w:t>
            </w:r>
          </w:p>
        </w:tc>
      </w:tr>
      <w:tr>
        <w:trPr>
          <w:cantSplit/>
        </w:trPr>
        <w:tc>
          <w:tcPr>
            <w:tcW w:type="dxa" w:w="2880"/>
            <w:vAlign w:val="center"/>
          </w:tcPr>
          <w:p>
            <w:pPr>
              <w:spacing w:after="40" w:line="240" w:lineRule="auto"/>
            </w:pPr>
            <w:r>
              <w:t>Separate work-profile password</w:t>
            </w:r>
          </w:p>
        </w:tc>
        <w:tc>
          <w:tcPr>
            <w:tcW w:type="dxa" w:w="2160"/>
            <w:vAlign w:val="center"/>
          </w:tcPr>
          <w:p>
            <w:pPr>
              <w:spacing w:after="40" w:line="240" w:lineRule="auto"/>
            </w:pPr>
            <w:r>
              <w:t>Not required</w:t>
            </w:r>
          </w:p>
        </w:tc>
        <w:tc>
          <w:tcPr>
            <w:tcW w:type="dxa" w:w="5760"/>
            <w:vAlign w:val="center"/>
          </w:tcPr>
          <w:p>
            <w:pPr>
              <w:spacing w:after="40" w:line="240" w:lineRule="auto"/>
            </w:pPr>
            <w:r>
              <w:t>Avoids requiring users to maintain a second work-only password.</w:t>
            </w:r>
          </w:p>
        </w:tc>
      </w:tr>
      <w:tr>
        <w:trPr>
          <w:cantSplit/>
        </w:trPr>
        <w:tc>
          <w:tcPr>
            <w:tcW w:type="dxa" w:w="2880"/>
            <w:vAlign w:val="center"/>
          </w:tcPr>
          <w:p>
            <w:pPr>
              <w:spacing w:after="40" w:line="240" w:lineRule="auto"/>
            </w:pPr>
            <w:r>
              <w:t>App threat scanning</w:t>
            </w:r>
          </w:p>
        </w:tc>
        <w:tc>
          <w:tcPr>
            <w:tcW w:type="dxa" w:w="2160"/>
            <w:vAlign w:val="center"/>
          </w:tcPr>
          <w:p>
            <w:pPr>
              <w:spacing w:after="40" w:line="240" w:lineRule="auto"/>
            </w:pPr>
            <w:r>
              <w:t>Required</w:t>
            </w:r>
          </w:p>
        </w:tc>
        <w:tc>
          <w:tcPr>
            <w:tcW w:type="dxa" w:w="5760"/>
            <w:vAlign w:val="center"/>
          </w:tcPr>
          <w:p>
            <w:pPr>
              <w:spacing w:after="40" w:line="240" w:lineRule="auto"/>
            </w:pPr>
            <w:r>
              <w:t>Requires Android application verification/threat-scanning capability.</w:t>
            </w:r>
          </w:p>
        </w:tc>
      </w:tr>
      <w:tr>
        <w:trPr>
          <w:cantSplit/>
        </w:trPr>
        <w:tc>
          <w:tcPr>
            <w:tcW w:type="dxa" w:w="2880"/>
            <w:vAlign w:val="center"/>
          </w:tcPr>
          <w:p>
            <w:pPr>
              <w:spacing w:after="40" w:line="240" w:lineRule="auto"/>
            </w:pPr>
            <w:r>
              <w:t>Storage encryption</w:t>
            </w:r>
          </w:p>
        </w:tc>
        <w:tc>
          <w:tcPr>
            <w:tcW w:type="dxa" w:w="2160"/>
            <w:vAlign w:val="center"/>
          </w:tcPr>
          <w:p>
            <w:pPr>
              <w:spacing w:after="40" w:line="240" w:lineRule="auto"/>
            </w:pPr>
            <w:r>
              <w:t>Compliance policy</w:t>
            </w:r>
          </w:p>
        </w:tc>
        <w:tc>
          <w:tcPr>
            <w:tcW w:type="dxa" w:w="5760"/>
            <w:vAlign w:val="center"/>
          </w:tcPr>
          <w:p>
            <w:pPr>
              <w:spacing w:after="40" w:line="240" w:lineRule="auto"/>
            </w:pPr>
            <w:r>
              <w:t>Keeps encryption evaluation within device compliance rather than duplicating the control.</w:t>
            </w:r>
          </w:p>
        </w:tc>
      </w:tr>
    </w:tbl>
    <w:p>
      <w:pPr>
        <w:pStyle w:val="Heading1"/>
      </w:pPr>
      <w:r>
        <w:t>How It Works</w:t>
      </w:r>
    </w:p>
    <w:p>
      <w:pPr>
        <w:spacing w:after="120" w:line="259" w:lineRule="auto"/>
      </w:pPr>
      <w:r>
        <w:t>The script creates or updates an Android Enterprise personally owned work-profile Device Restrictions configuration in Microsoft Intune. For GCC High, it connects specifically to the Microsoft Graph USGov environment and uses the graph.microsoft.us endpoint.</w:t>
      </w:r>
    </w:p>
    <w:p>
      <w:pPr>
        <w:spacing w:after="120" w:line="259" w:lineRule="auto"/>
      </w:pPr>
      <w:r>
        <w:t>After creation or update, the script retrieves the resulting policy and validates the configured copy/paste, application-permission, screen-capture, and threat-scan settings against the expected values. It also stops if duplicate exact-name policies are found, reducing the risk of changing the wrong configuration.</w:t>
      </w:r>
    </w:p>
    <w:p>
      <w:pPr>
        <w:spacing w:after="120" w:line="259" w:lineRule="auto"/>
      </w:pPr>
      <w:r>
        <w:t>The script does not assign the policy to users, devices, or groups. New policies remain unassigned, and existing assignments are preserved on update.</w:t>
      </w:r>
    </w:p>
    <w:p>
      <w:pPr>
        <w:pStyle w:val="Heading1"/>
      </w:pPr>
      <w:r>
        <w:t>Why This Policy Is Important</w:t>
      </w:r>
    </w:p>
    <w:p>
      <w:pPr>
        <w:spacing w:after="120" w:line="259" w:lineRule="auto"/>
      </w:pPr>
      <w:r>
        <w:t>The principal objective is data-loss prevention on personally owned mobile devices without taking control of the user’s personal side of the device.</w:t>
      </w:r>
    </w:p>
    <w:p>
      <w:pPr>
        <w:pStyle w:val="ListBullet"/>
        <w:spacing w:after="60"/>
      </w:pPr>
      <w:r>
        <w:t>Blocks clipboard transfer between the corporate work profile and the personal profile.</w:t>
      </w:r>
    </w:p>
    <w:p>
      <w:pPr>
        <w:pStyle w:val="ListBullet"/>
        <w:spacing w:after="60"/>
      </w:pPr>
      <w:r>
        <w:t>Blocks screenshots of managed work-profile content.</w:t>
      </w:r>
    </w:p>
    <w:p>
      <w:pPr>
        <w:pStyle w:val="ListBullet"/>
        <w:spacing w:after="60"/>
      </w:pPr>
      <w:r>
        <w:t>Requires Android application threat scanning.</w:t>
      </w:r>
    </w:p>
    <w:p>
      <w:pPr>
        <w:pStyle w:val="ListBullet"/>
        <w:spacing w:after="60"/>
      </w:pPr>
      <w:r>
        <w:t>Avoids duplicating password and encryption requirements that are handled by compliance policy.</w:t>
      </w:r>
    </w:p>
    <w:p>
      <w:pPr>
        <w:pStyle w:val="ListBullet"/>
        <w:spacing w:after="60"/>
      </w:pPr>
      <w:r>
        <w:t>Allows deployment scope to be decided per client rather than automatically assigning a generic baseline.</w:t>
      </w:r>
    </w:p>
    <w:p>
      <w:pPr>
        <w:pStyle w:val="Heading1"/>
      </w:pPr>
      <w:r>
        <w:t>User Impact</w:t>
      </w:r>
    </w:p>
    <w:p>
      <w:pPr>
        <w:spacing w:after="120" w:line="259" w:lineRule="auto"/>
      </w:pPr>
      <w:r>
        <w:rPr>
          <w:b/>
        </w:rPr>
        <w:t>Expected impact:</w:t>
      </w:r>
      <w:r>
        <w:t xml:space="preserve"> Moderate.</w:t>
      </w:r>
    </w:p>
    <w:p>
      <w:pPr>
        <w:spacing w:after="120" w:line="259" w:lineRule="auto"/>
      </w:pPr>
      <w:r>
        <w:t>Users can continue using their personal Android devices normally, but they cannot copy and paste information between the work and personal profiles and cannot take screenshots of managed work-profile content. They are not required to maintain a separate work-profile password.</w:t>
      </w:r>
    </w:p>
    <w:p>
      <w:pPr>
        <w:spacing w:after="120" w:line="259" w:lineRule="auto"/>
      </w:pPr>
      <w:r>
        <w:t>This provides stronger data protection with a noticeable but controlled impact on workflow.</w:t>
      </w:r>
    </w:p>
    <w:p>
      <w:pPr>
        <w:pStyle w:val="Heading1"/>
      </w:pPr>
      <w:r>
        <w:t>Security Posture</w:t>
      </w:r>
    </w:p>
    <w:p>
      <w:pPr>
        <w:spacing w:after="120" w:line="259" w:lineRule="auto"/>
      </w:pPr>
      <w:r>
        <w:rPr>
          <w:b/>
        </w:rPr>
        <w:t>Enhanced BYOD data protection.</w:t>
      </w:r>
      <w:r/>
    </w:p>
    <w:p>
      <w:pPr>
        <w:spacing w:after="120" w:line="259" w:lineRule="auto"/>
      </w:pPr>
      <w:r>
        <w:t>This is the stronger of the two Android device-configuration approaches in this policy set. It is suited to clients that require better separation of corporate information from unmanaged personal applications without moving to an extremely restrictive mobile-device configuration.</w:t>
      </w:r>
    </w:p>
    <w:p>
      <w:pPr>
        <w:pStyle w:val="Heading1"/>
      </w:pPr>
      <w:r>
        <w:t>Deployment and Assignment</w:t>
      </w:r>
    </w:p>
    <w:p>
      <w:pPr>
        <w:spacing w:after="120" w:line="259" w:lineRule="auto"/>
      </w:pPr>
      <w:r>
        <w:t>Assignment remains a technician-controlled decision. Before deployment, the technician should confirm:</w:t>
      </w:r>
    </w:p>
    <w:p>
      <w:pPr>
        <w:pStyle w:val="ListBullet"/>
        <w:spacing w:after="60"/>
      </w:pPr>
      <w:r>
        <w:t>The client uses Android Enterprise personally owned work profiles.</w:t>
      </w:r>
    </w:p>
    <w:p>
      <w:pPr>
        <w:pStyle w:val="ListBullet"/>
        <w:spacing w:after="60"/>
      </w:pPr>
      <w:r>
        <w:t>Blocking clipboard transfer aligns with business workflows.</w:t>
      </w:r>
    </w:p>
    <w:p>
      <w:pPr>
        <w:pStyle w:val="ListBullet"/>
        <w:spacing w:after="60"/>
      </w:pPr>
      <w:r>
        <w:t>Blocking screen capture is acceptable for the targeted users.</w:t>
      </w:r>
    </w:p>
    <w:p>
      <w:pPr>
        <w:pStyle w:val="ListBullet"/>
        <w:spacing w:after="60"/>
      </w:pPr>
      <w:r>
        <w:t>The corresponding Android compliance policy is available for screen-lock and encryption requirements.</w:t>
      </w:r>
    </w:p>
    <w:p>
      <w:pPr>
        <w:pStyle w:val="ListBullet"/>
        <w:spacing w:after="60"/>
      </w:pPr>
      <w:r>
        <w:t>The correct user or device population has been identified for that client.</w:t>
      </w:r>
    </w:p>
    <w:p>
      <w:pPr>
        <w:spacing w:after="120" w:line="259" w:lineRule="auto"/>
      </w:pPr>
      <w:r>
        <w:t>No assignment endpoint is called by the script.</w:t>
      </w:r>
    </w:p>
    <w:p>
      <w:pPr>
        <w:pStyle w:val="Heading1"/>
      </w:pPr>
      <w:r>
        <w:t>Approval Recommendation</w:t>
      </w:r>
    </w:p>
    <w:p>
      <w:pPr>
        <w:spacing w:after="120" w:line="259" w:lineRule="auto"/>
      </w:pPr>
      <w:r>
        <w:t>Recommended for approval as the enhanced Android BYOD configuration for GCC High clients that require stronger separation of corporate information from personal applications. Deployment should remain technician-controlled so assignment can be tailored to each client’s security requirements and operating model.</w:t>
      </w:r>
    </w:p>
    <w:p>
      <w:pPr>
        <w:pStyle w:val="Heading1"/>
      </w:pPr>
      <w:r>
        <w:t>Implementation Note / Exception</w:t>
      </w:r>
    </w:p>
    <w:p>
      <w:pPr>
        <w:spacing w:after="120" w:line="259" w:lineRule="auto"/>
      </w:pPr>
      <w:r>
        <w:t>The embedded policy description states that the policy requires a numeric-complex work-profile password, minimum length of 8, medium Android 12+ complexity, and a 15-minute inactivity lock. Those password controls are not actually present in the policy payload.</w:t>
      </w:r>
    </w:p>
    <w:p>
      <w:pPr>
        <w:spacing w:after="120" w:line="259" w:lineRule="auto"/>
      </w:pPr>
      <w:r>
        <w:t>The synopsis correctly states that a separate work-profile password is not required and that phone screen-lock requirements are evaluated by the matching compliance policy. The actual deployed configuration therefore matches the intended design, but the internal description should ultimately be corrected so the script and deployed policy documentation are consistent.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Executive Policy Approval Overview • Android Enterprise • GCC High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