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ptos" w:hAnsi="Aptos"/>
          <w:b/>
          <w:i w:val="0"/>
          <w:color w:val="17365D"/>
          <w:sz w:val="40"/>
        </w:rPr>
        <w:t>Executive Policy Overview</w:t>
      </w:r>
    </w:p>
    <w:p>
      <w:pPr>
        <w:spacing w:after="200"/>
      </w:pPr>
      <w:r>
        <w:rPr>
          <w:rFonts w:ascii="Aptos" w:hAnsi="Aptos"/>
          <w:b/>
          <w:i w:val="0"/>
          <w:color w:val="2F5597"/>
          <w:sz w:val="27"/>
        </w:rPr>
        <w:t>Android App Protection Policy - Allow All Apps</w:t>
      </w:r>
    </w:p>
    <w:tbl>
      <w:tblPr>
        <w:tblW w:type="auto" w:w="0"/>
        <w:jc w:val="left"/>
        <w:tblLayout w:type="fixed"/>
        <w:tblLook w:firstColumn="1" w:firstRow="1" w:lastColumn="0" w:lastRow="0" w:noHBand="0" w:noVBand="1" w:val="04A0"/>
      </w:tblPr>
      <w:tblGrid>
        <w:gridCol w:w="5141"/>
        <w:gridCol w:w="5141"/>
      </w:tblGrid>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Platform</w:t>
            </w:r>
          </w:p>
        </w:tc>
        <w:tc>
          <w:tcPr>
            <w:tcW w:type="dxa" w:w="7992"/>
            <w:tcMar>
              <w:top w:w="70" w:type="dxa"/>
              <w:start w:w="95" w:type="dxa"/>
              <w:bottom w:w="70" w:type="dxa"/>
              <w:end w:w="95" w:type="dxa"/>
            </w:tcMar>
            <w:vAlign w:val="center"/>
          </w:tcPr>
          <w:p>
            <w:pPr>
              <w:spacing w:after="0"/>
            </w:pPr>
            <w:r>
              <w:rPr>
                <w:rFonts w:ascii="Aptos" w:hAnsi="Aptos"/>
                <w:b w:val="0"/>
                <w:i w:val="0"/>
                <w:sz w:val="19"/>
              </w:rPr>
              <w:t>Android</w:t>
            </w:r>
          </w:p>
        </w:tc>
      </w:tr>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Cloud</w:t>
            </w:r>
          </w:p>
        </w:tc>
        <w:tc>
          <w:tcPr>
            <w:tcW w:type="dxa" w:w="7992"/>
            <w:tcMar>
              <w:top w:w="70" w:type="dxa"/>
              <w:start w:w="95" w:type="dxa"/>
              <w:bottom w:w="70" w:type="dxa"/>
              <w:end w:w="95" w:type="dxa"/>
            </w:tcMar>
            <w:vAlign w:val="center"/>
          </w:tcPr>
          <w:p>
            <w:pPr>
              <w:spacing w:after="0"/>
            </w:pPr>
            <w:r>
              <w:rPr>
                <w:rFonts w:ascii="Aptos" w:hAnsi="Aptos"/>
                <w:b w:val="0"/>
                <w:i w:val="0"/>
                <w:sz w:val="19"/>
              </w:rPr>
              <w:t>Microsoft 365 GCC High</w:t>
            </w:r>
          </w:p>
        </w:tc>
      </w:tr>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Policy type</w:t>
            </w:r>
          </w:p>
        </w:tc>
        <w:tc>
          <w:tcPr>
            <w:tcW w:type="dxa" w:w="7992"/>
            <w:tcMar>
              <w:top w:w="70" w:type="dxa"/>
              <w:start w:w="95" w:type="dxa"/>
              <w:bottom w:w="70" w:type="dxa"/>
              <w:end w:w="95" w:type="dxa"/>
            </w:tcMar>
            <w:vAlign w:val="center"/>
          </w:tcPr>
          <w:p>
            <w:pPr>
              <w:spacing w:after="0"/>
            </w:pPr>
            <w:r>
              <w:rPr>
                <w:rFonts w:ascii="Aptos" w:hAnsi="Aptos"/>
                <w:b w:val="0"/>
                <w:i w:val="0"/>
                <w:sz w:val="19"/>
              </w:rPr>
              <w:t>Intune App Protection (MAM)</w:t>
            </w:r>
          </w:p>
        </w:tc>
      </w:tr>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Deployment state</w:t>
            </w:r>
          </w:p>
        </w:tc>
        <w:tc>
          <w:tcPr>
            <w:tcW w:type="dxa" w:w="7992"/>
            <w:tcMar>
              <w:top w:w="70" w:type="dxa"/>
              <w:start w:w="95" w:type="dxa"/>
              <w:bottom w:w="70" w:type="dxa"/>
              <w:end w:w="95" w:type="dxa"/>
            </w:tcMar>
            <w:vAlign w:val="center"/>
          </w:tcPr>
          <w:p>
            <w:pPr>
              <w:spacing w:after="0"/>
            </w:pPr>
            <w:r>
              <w:rPr>
                <w:rFonts w:ascii="Aptos" w:hAnsi="Aptos"/>
                <w:b w:val="0"/>
                <w:i w:val="0"/>
                <w:sz w:val="19"/>
              </w:rPr>
              <w:t>Created unassigned; existing assignments preserved on update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FF2CC"/>
            <w:tcMar>
              <w:top w:w="110" w:type="dxa"/>
              <w:start w:w="130" w:type="dxa"/>
              <w:bottom w:w="110" w:type="dxa"/>
              <w:end w:w="130" w:type="dxa"/>
            </w:tcMar>
          </w:tcPr>
          <w:p>
            <w:pPr>
              <w:spacing w:after="0"/>
            </w:pPr>
            <w:r>
              <w:rPr>
                <w:rFonts w:ascii="Aptos" w:hAnsi="Aptos"/>
                <w:b/>
                <w:i w:val="0"/>
                <w:color w:val="17365D"/>
                <w:sz w:val="21"/>
              </w:rPr>
              <w:t xml:space="preserve">Approval posture: </w:t>
            </w:r>
            <w:r>
              <w:rPr>
                <w:rFonts w:ascii="Aptos" w:hAnsi="Aptos"/>
                <w:b w:val="0"/>
                <w:i w:val="0"/>
                <w:sz w:val="21"/>
              </w:rPr>
              <w:t>Conditional approval: low-friction policy design recommended where appropriate; correct the v1.1.0 result-reporting runtime defect before production deployment.</w:t>
            </w:r>
          </w:p>
        </w:tc>
      </w:tr>
    </w:tbl>
    <w:p>
      <w:pPr>
        <w:spacing w:after="0"/>
      </w:pPr>
    </w:p>
    <w:p>
      <w:pPr>
        <w:pStyle w:val="Heading1"/>
        <w:keepNext/>
      </w:pPr>
      <w:r>
        <w:rPr>
          <w:rFonts w:ascii="Aptos Display" w:hAnsi="Aptos Display"/>
          <w:b/>
          <w:color w:val="17365D"/>
          <w:sz w:val="28"/>
        </w:rPr>
        <w:t>1. Executive Summary</w:t>
      </w:r>
    </w:p>
    <w:p>
      <w:pPr>
        <w:spacing w:after="120" w:line="252" w:lineRule="auto"/>
      </w:pPr>
      <w:r>
        <w:rPr>
          <w:rFonts w:ascii="Aptos" w:hAnsi="Aptos"/>
          <w:b w:val="0"/>
          <w:i w:val="0"/>
          <w:sz w:val="21"/>
        </w:rPr>
        <w:t>This policy provides a low-friction Android Mobile Application Management (MAM) baseline. It protects app data through encryption and requires the device to be compliant, but it deliberately allows organizational data to move to and from all applications rather than enforcing a managed-app-only boundary.</w:t>
      </w:r>
    </w:p>
    <w:p>
      <w:pPr>
        <w:spacing w:after="120" w:line="252" w:lineRule="auto"/>
      </w:pPr>
      <w:r>
        <w:rPr>
          <w:rFonts w:ascii="Aptos" w:hAnsi="Aptos"/>
          <w:b w:val="0"/>
          <w:i w:val="0"/>
          <w:sz w:val="21"/>
        </w:rPr>
        <w:t>This design is appropriate for clients that want a basic application security layer without materially disrupting normal Android sharing workflows. It should not be positioned as a strong data-loss-prevention policy because backup, Save As, screenshots, printing, contact synchronization, and unrestricted app-to-app transfer remain allowed.</w:t>
      </w:r>
    </w:p>
    <w:p>
      <w:pPr>
        <w:pStyle w:val="Heading1"/>
        <w:keepNext/>
      </w:pPr>
      <w:r>
        <w:rPr>
          <w:rFonts w:ascii="Aptos Display" w:hAnsi="Aptos Display"/>
          <w:b/>
          <w:color w:val="17365D"/>
          <w:sz w:val="28"/>
        </w:rPr>
        <w:t>2. What the Policy Does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2F5597"/>
            <w:tcMar>
              <w:top w:w="100" w:type="dxa"/>
              <w:start w:w="110" w:type="dxa"/>
              <w:bottom w:w="100" w:type="dxa"/>
              <w:end w:w="110" w:type="dxa"/>
            </w:tcMar>
            <w:vAlign w:val="center"/>
          </w:tcPr>
          <w:p>
            <w:pPr>
              <w:jc w:val="center"/>
            </w:pPr>
            <w:r>
              <w:rPr>
                <w:rFonts w:ascii="Aptos" w:hAnsi="Aptos"/>
                <w:b/>
                <w:color w:val="FFFFFF"/>
                <w:sz w:val="19"/>
              </w:rPr>
              <w:t>Control</w:t>
            </w:r>
          </w:p>
        </w:tc>
        <w:tc>
          <w:tcPr>
            <w:tcW w:type="dxa" w:w="3024"/>
            <w:shd w:fill="2F5597"/>
            <w:tcMar>
              <w:top w:w="100" w:type="dxa"/>
              <w:start w:w="110" w:type="dxa"/>
              <w:bottom w:w="100" w:type="dxa"/>
              <w:end w:w="110" w:type="dxa"/>
            </w:tcMar>
            <w:vAlign w:val="center"/>
          </w:tcPr>
          <w:p>
            <w:pPr>
              <w:jc w:val="center"/>
            </w:pPr>
            <w:r>
              <w:rPr>
                <w:rFonts w:ascii="Aptos" w:hAnsi="Aptos"/>
                <w:b/>
                <w:color w:val="FFFFFF"/>
                <w:sz w:val="19"/>
              </w:rPr>
              <w:t>Configuration</w:t>
            </w:r>
          </w:p>
        </w:tc>
        <w:tc>
          <w:tcPr>
            <w:tcW w:type="dxa" w:w="5040"/>
            <w:shd w:fill="2F5597"/>
            <w:tcMar>
              <w:top w:w="100" w:type="dxa"/>
              <w:start w:w="110" w:type="dxa"/>
              <w:bottom w:w="100" w:type="dxa"/>
              <w:end w:w="110" w:type="dxa"/>
            </w:tcMar>
            <w:vAlign w:val="center"/>
          </w:tcPr>
          <w:p>
            <w:pPr>
              <w:jc w:val="center"/>
            </w:pPr>
            <w:r>
              <w:rPr>
                <w:rFonts w:ascii="Aptos" w:hAnsi="Aptos"/>
                <w:b/>
                <w:color w:val="FFFFFF"/>
                <w:sz w:val="19"/>
              </w:rPr>
              <w:t>Business Effect</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Inbound data transfer</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 apps</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Allows data from managed and unmanaged apps to enter protected apps.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Outbound data transfer</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 apps</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Allows organizational data to be sent to any app.</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Clipboard</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 apps</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Allows copy/paste between managed and unmanaged apps.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App data encryption</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Required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Encrypts protected application data.</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Device compliance</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Required; block if not compliant</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Prevents protected app access on noncompliant devices.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Backup</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Allowed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Does not block app-data backup.</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Save As</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Allowed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Allows users to save data into other locations.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Screen capture / Print</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Allowed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Does not block screenshots or printing.</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Managed browser</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Not required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Links are not forced into Microsoft Edge.</w:t>
            </w:r>
          </w:p>
        </w:tc>
      </w:tr>
    </w:tbl>
    <w:p>
      <w:pPr>
        <w:pStyle w:val="Heading1"/>
        <w:keepNext/>
      </w:pPr>
      <w:r>
        <w:rPr>
          <w:rFonts w:ascii="Aptos Display" w:hAnsi="Aptos Display"/>
          <w:b/>
          <w:color w:val="17365D"/>
          <w:sz w:val="28"/>
        </w:rPr>
        <w:t>3. How It Works</w:t>
      </w:r>
    </w:p>
    <w:p>
      <w:pPr>
        <w:spacing w:after="120" w:line="252" w:lineRule="auto"/>
      </w:pPr>
      <w:r>
        <w:rPr>
          <w:rFonts w:ascii="Aptos" w:hAnsi="Aptos"/>
          <w:b w:val="0"/>
          <w:i w:val="0"/>
          <w:sz w:val="21"/>
        </w:rPr>
        <w:t>The script creates or updates an Android managed app protection policy through Microsoft Graph. It uses exact display-name matching, stops if duplicate exact-name policies are found, updates a single existing policy, or creates a new one when none exists.</w:t>
      </w:r>
    </w:p>
    <w:p>
      <w:pPr>
        <w:spacing w:after="120" w:line="252" w:lineRule="auto"/>
      </w:pPr>
      <w:r>
        <w:rPr>
          <w:rFonts w:ascii="Aptos" w:hAnsi="Aptos"/>
          <w:b w:val="0"/>
          <w:i w:val="0"/>
          <w:sz w:val="21"/>
        </w:rPr>
        <w:t>The payload targets all public apps for application eligibility and sets inbound transfer, outbound transfer, and clipboard sharing to allApps. App data encryption remains enabled and deviceComplianceRequired is true with a block action when compliance is not met. The remaining user-facing DLP controls are intentionally permissive.</w:t>
      </w:r>
    </w:p>
    <w:p>
      <w:pPr>
        <w:pStyle w:val="Heading1"/>
        <w:keepNext/>
      </w:pPr>
      <w:r>
        <w:rPr>
          <w:rFonts w:ascii="Aptos Display" w:hAnsi="Aptos Display"/>
          <w:b/>
          <w:color w:val="17365D"/>
          <w:sz w:val="28"/>
        </w:rPr>
        <w:t>4. Why This Policy Is Important</w:t>
      </w:r>
    </w:p>
    <w:p>
      <w:pPr>
        <w:spacing w:after="120" w:line="252" w:lineRule="auto"/>
      </w:pPr>
      <w:r>
        <w:rPr>
          <w:rFonts w:ascii="Aptos" w:hAnsi="Aptos"/>
          <w:b w:val="0"/>
          <w:i w:val="0"/>
          <w:sz w:val="21"/>
        </w:rPr>
        <w:t>Some client environments need mobile app protection without breaking established workflows that depend on consumer apps, third-party storage, screenshots, printing, or unrestricted copy/paste. This policy provides a minimal MAM control layer while maintaining that interoperability.</w:t>
      </w:r>
    </w:p>
    <w:p>
      <w:pPr>
        <w:spacing w:after="120" w:line="252" w:lineRule="auto"/>
      </w:pPr>
      <w:r>
        <w:rPr>
          <w:rFonts w:ascii="Aptos" w:hAnsi="Aptos"/>
          <w:b w:val="0"/>
          <w:i w:val="0"/>
          <w:sz w:val="21"/>
        </w:rPr>
        <w:t>Its security value comes primarily from protecting app data at rest and requiring a compliant device. It does not provide the managed/unmanaged data boundary delivered by the Managed Apps Only variant.</w:t>
      </w:r>
    </w:p>
    <w:p>
      <w:pPr>
        <w:pStyle w:val="Heading1"/>
        <w:keepNext/>
      </w:pPr>
      <w:r>
        <w:rPr>
          <w:rFonts w:ascii="Aptos Display" w:hAnsi="Aptos Display"/>
          <w:b/>
          <w:color w:val="17365D"/>
          <w:sz w:val="28"/>
        </w:rPr>
        <w:t>5. User Impact</w:t>
      </w:r>
    </w:p>
    <w:tbl>
      <w:tblPr>
        <w:tblW w:type="auto" w:w="0"/>
        <w:jc w:val="center"/>
        <w:tblLayout w:type="autofit"/>
        <w:tblLook w:firstColumn="1" w:firstRow="1" w:lastColumn="0" w:lastRow="0" w:noHBand="0" w:noVBand="1" w:val="04A0"/>
      </w:tblPr>
      <w:tblGrid>
        <w:gridCol w:w="10282"/>
      </w:tblGrid>
      <w:tr>
        <w:trPr>
          <w:cantSplit/>
        </w:trPr>
        <w:tc>
          <w:tcPr>
            <w:tcW w:type="dxa" w:w="10282"/>
            <w:shd w:fill="E2F0D9"/>
            <w:tcMar>
              <w:top w:w="110" w:type="dxa"/>
              <w:start w:w="130" w:type="dxa"/>
              <w:bottom w:w="110" w:type="dxa"/>
              <w:end w:w="130" w:type="dxa"/>
            </w:tcMar>
          </w:tcPr>
          <w:p>
            <w:pPr>
              <w:spacing w:after="0"/>
            </w:pPr>
            <w:r>
              <w:rPr>
                <w:rFonts w:ascii="Aptos" w:hAnsi="Aptos"/>
                <w:b/>
                <w:i w:val="0"/>
                <w:color w:val="17365D"/>
                <w:sz w:val="21"/>
              </w:rPr>
              <w:t xml:space="preserve">Expected impact: </w:t>
            </w:r>
            <w:r>
              <w:rPr>
                <w:rFonts w:ascii="Aptos" w:hAnsi="Aptos"/>
                <w:b w:val="0"/>
                <w:i w:val="0"/>
                <w:sz w:val="21"/>
              </w:rPr>
              <w:t>Low. Normal Android sharing, copy/paste, screenshots, printing, backup, and Save As workflows remain broadly available. The principal user-visible restriction is loss of protected app access when the device is reported noncompliant.</w:t>
            </w:r>
          </w:p>
        </w:tc>
      </w:tr>
    </w:tbl>
    <w:p>
      <w:pPr>
        <w:spacing w:after="0"/>
      </w:pPr>
    </w:p>
    <w:p>
      <w:pPr>
        <w:pStyle w:val="Heading1"/>
        <w:keepNext/>
      </w:pPr>
      <w:r>
        <w:rPr>
          <w:rFonts w:ascii="Aptos Display" w:hAnsi="Aptos Display"/>
          <w:b/>
          <w:color w:val="17365D"/>
          <w:sz w:val="28"/>
        </w:rPr>
        <w:t>6. Security Posture</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2F8"/>
            <w:tcMar>
              <w:top w:w="110" w:type="dxa"/>
              <w:start w:w="130" w:type="dxa"/>
              <w:bottom w:w="110" w:type="dxa"/>
              <w:end w:w="130" w:type="dxa"/>
            </w:tcMar>
          </w:tcPr>
          <w:p>
            <w:pPr>
              <w:spacing w:after="0"/>
            </w:pPr>
            <w:r>
              <w:rPr>
                <w:rFonts w:ascii="Aptos" w:hAnsi="Aptos"/>
                <w:b/>
                <w:i w:val="0"/>
                <w:color w:val="17365D"/>
                <w:sz w:val="21"/>
              </w:rPr>
              <w:t xml:space="preserve">Classification: </w:t>
            </w:r>
            <w:r>
              <w:rPr>
                <w:rFonts w:ascii="Aptos" w:hAnsi="Aptos"/>
                <w:b w:val="0"/>
                <w:i w:val="0"/>
                <w:sz w:val="21"/>
              </w:rPr>
              <w:t>Baseline / low-friction Android MAM security. This policy favors application interoperability and user experience over strict data-loss prevention.</w:t>
            </w:r>
          </w:p>
        </w:tc>
      </w:tr>
    </w:tbl>
    <w:p>
      <w:pPr>
        <w:spacing w:after="0"/>
      </w:pPr>
    </w:p>
    <w:p>
      <w:pPr>
        <w:pStyle w:val="Heading1"/>
        <w:keepNext/>
      </w:pPr>
      <w:r>
        <w:rPr>
          <w:rFonts w:ascii="Aptos Display" w:hAnsi="Aptos Display"/>
          <w:b/>
          <w:color w:val="17365D"/>
          <w:sz w:val="28"/>
        </w:rPr>
        <w:t>7. Deployment and Assignment</w:t>
      </w:r>
    </w:p>
    <w:p>
      <w:pPr>
        <w:spacing w:after="120" w:line="252" w:lineRule="auto"/>
      </w:pPr>
      <w:r>
        <w:rPr>
          <w:rFonts w:ascii="Aptos" w:hAnsi="Aptos"/>
          <w:b w:val="0"/>
          <w:i w:val="0"/>
          <w:sz w:val="21"/>
        </w:rPr>
        <w:t>The script does not call an assignment endpoint. A newly created policy remains unassigned, while an update changes the policy object only and therefore preserves whatever assignments already exist. Application targeting in the payload defines which apps the MAM settings can protect; it is not a user or group assignment.</w:t>
      </w:r>
    </w:p>
    <w:p>
      <w:pPr>
        <w:spacing w:after="120" w:line="252" w:lineRule="auto"/>
      </w:pPr>
      <w:r>
        <w:rPr>
          <w:rFonts w:ascii="Aptos" w:hAnsi="Aptos"/>
          <w:b w:val="0"/>
          <w:i w:val="0"/>
          <w:sz w:val="21"/>
        </w:rPr>
        <w:t>Technicians should select the user/group scope for each client environment after validating licensing, supported apps, device ownership expectations, and overlap with other App Protection Policies.</w:t>
      </w:r>
    </w:p>
    <w:p>
      <w:pPr>
        <w:pStyle w:val="Heading1"/>
        <w:keepNext/>
      </w:pPr>
      <w:r>
        <w:rPr>
          <w:rFonts w:ascii="Aptos Display" w:hAnsi="Aptos Display"/>
          <w:b/>
          <w:color w:val="17365D"/>
          <w:sz w:val="28"/>
        </w:rPr>
        <w:t>8. Approval Recommendation</w:t>
      </w:r>
    </w:p>
    <w:p>
      <w:pPr>
        <w:spacing w:after="120" w:line="252" w:lineRule="auto"/>
      </w:pPr>
      <w:r>
        <w:rPr>
          <w:rFonts w:ascii="Aptos" w:hAnsi="Aptos"/>
          <w:b w:val="0"/>
          <w:i w:val="0"/>
          <w:sz w:val="21"/>
        </w:rPr>
        <w:t>Recommended for approval as an alternative Android MAM baseline for clients that explicitly require broad app interoperability and accept the associated data-sharing risk. Production use of the current v1.1.0 automation should wait until the result-reporting defect described below is corrected. For clients whose priority is corporate data containment, the Managed Apps Only variant should be preferred instead.</w:t>
      </w:r>
    </w:p>
    <w:p>
      <w:pPr>
        <w:pStyle w:val="Heading1"/>
        <w:keepNext/>
      </w:pPr>
      <w:r>
        <w:rPr>
          <w:rFonts w:ascii="Aptos Display" w:hAnsi="Aptos Display"/>
          <w:b/>
          <w:color w:val="17365D"/>
          <w:sz w:val="28"/>
        </w:rPr>
        <w:t>9. Implementation Note / Exceptions</w:t>
      </w:r>
    </w:p>
    <w:p>
      <w:pPr>
        <w:spacing w:after="120" w:line="252" w:lineRule="auto"/>
      </w:pPr>
      <w:r>
        <w:rPr>
          <w:rFonts w:ascii="Aptos" w:hAnsi="Aptos"/>
          <w:b w:val="0"/>
          <w:i w:val="0"/>
          <w:sz w:val="21"/>
        </w:rPr>
        <w:t>The v1.1.0 script has an implementation defect in both its update and create success paths: the Results object tests $action to determine the assignment status, but $action is never initialized in either branch. With Set-StrictMode -Version Latest, that can throw after the Graph create/update has already succeeded, causing the script to report failure after changing the policy. Correct that result-reporting logic before production use.</w:t>
      </w:r>
    </w:p>
    <w:p>
      <w:pPr>
        <w:spacing w:after="120" w:line="252" w:lineRule="auto"/>
      </w:pPr>
      <w:r>
        <w:rPr>
          <w:rFonts w:ascii="Aptos" w:hAnsi="Aptos"/>
          <w:b w:val="0"/>
          <w:i w:val="0"/>
          <w:sz w:val="21"/>
        </w:rPr>
        <w:t>The policy description says it "blocks rooted devices," but the actual payload does not include an explicit rooted-device control. The payload does require device compliance, so rooted-device handling may be achieved only if the client compliance design separately evaluates that condition. The executive approval should therefore be based on encryption plus compliance gating, not an assumed rooted-device block.</w:t>
      </w:r>
    </w:p>
    <w:p>
      <w:pPr>
        <w:spacing w:after="120" w:line="252" w:lineRule="auto"/>
      </w:pPr>
      <w:r>
        <w:rPr>
          <w:rFonts w:ascii="Aptos" w:hAnsi="Aptos"/>
          <w:b w:val="0"/>
          <w:i w:val="0"/>
          <w:sz w:val="21"/>
        </w:rPr>
        <w:t>The policy also does not require a separate application PIN, and its offline access-check and selective-wipe intervals are configured to extremely long values. Those choices are consistent with a low-friction baseline but should be reviewed for clients requiring stronger MAM reauthentication or offline data-removal behavior.</w:t>
      </w:r>
    </w:p>
    <w:sectPr w:rsidR="00FC693F" w:rsidRPr="0006063C" w:rsidSect="00034616">
      <w:footerReference w:type="default" r:id="rId9"/>
      <w:pgSz w:w="12240" w:h="15840"/>
      <w:pgMar w:top="950"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