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Aptos" w:hAnsi="Aptos"/>
          <w:b/>
          <w:i w:val="0"/>
          <w:color w:val="17365D"/>
          <w:sz w:val="40"/>
        </w:rPr>
        <w:t>Executive Policy Overview</w:t>
      </w:r>
    </w:p>
    <w:p>
      <w:pPr>
        <w:spacing w:after="200"/>
      </w:pPr>
      <w:r>
        <w:rPr>
          <w:rFonts w:ascii="Aptos" w:hAnsi="Aptos"/>
          <w:b/>
          <w:i w:val="0"/>
          <w:color w:val="2F5597"/>
          <w:sz w:val="27"/>
        </w:rPr>
        <w:t>Android App Protection Policy - Managed Apps Only</w:t>
      </w:r>
    </w:p>
    <w:tbl>
      <w:tblPr>
        <w:tblW w:type="auto" w:w="0"/>
        <w:jc w:val="left"/>
        <w:tblLayout w:type="fixed"/>
        <w:tblLook w:firstColumn="1" w:firstRow="1" w:lastColumn="0" w:lastRow="0" w:noHBand="0" w:noVBand="1" w:val="04A0"/>
      </w:tblPr>
      <w:tblGrid>
        <w:gridCol w:w="5141"/>
        <w:gridCol w:w="5141"/>
      </w:tblGrid>
      <w:tr>
        <w:trPr>
          <w:cantSplit/>
        </w:trPr>
        <w:tc>
          <w:tcPr>
            <w:tcW w:type="dxa" w:w="1944"/>
            <w:shd w:fill="F2F2F2"/>
            <w:tcMar>
              <w:top w:w="70" w:type="dxa"/>
              <w:start w:w="95" w:type="dxa"/>
              <w:bottom w:w="70" w:type="dxa"/>
              <w:end w:w="95" w:type="dxa"/>
            </w:tcMar>
            <w:vAlign w:val="center"/>
          </w:tcPr>
          <w:p>
            <w:pPr>
              <w:spacing w:after="0"/>
            </w:pPr>
            <w:r>
              <w:rPr>
                <w:rFonts w:ascii="Aptos" w:hAnsi="Aptos"/>
                <w:b/>
                <w:i w:val="0"/>
                <w:color w:val="17365D"/>
                <w:sz w:val="19"/>
              </w:rPr>
              <w:t>Platform</w:t>
            </w:r>
          </w:p>
        </w:tc>
        <w:tc>
          <w:tcPr>
            <w:tcW w:type="dxa" w:w="7992"/>
            <w:tcMar>
              <w:top w:w="70" w:type="dxa"/>
              <w:start w:w="95" w:type="dxa"/>
              <w:bottom w:w="70" w:type="dxa"/>
              <w:end w:w="95" w:type="dxa"/>
            </w:tcMar>
            <w:vAlign w:val="center"/>
          </w:tcPr>
          <w:p>
            <w:pPr>
              <w:spacing w:after="0"/>
            </w:pPr>
            <w:r>
              <w:rPr>
                <w:rFonts w:ascii="Aptos" w:hAnsi="Aptos"/>
                <w:b w:val="0"/>
                <w:i w:val="0"/>
                <w:sz w:val="19"/>
              </w:rPr>
              <w:t>Android</w:t>
            </w:r>
          </w:p>
        </w:tc>
      </w:tr>
      <w:tr>
        <w:trPr>
          <w:cantSplit/>
        </w:trPr>
        <w:tc>
          <w:tcPr>
            <w:tcW w:type="dxa" w:w="1944"/>
            <w:shd w:fill="F2F2F2"/>
            <w:tcMar>
              <w:top w:w="70" w:type="dxa"/>
              <w:start w:w="95" w:type="dxa"/>
              <w:bottom w:w="70" w:type="dxa"/>
              <w:end w:w="95" w:type="dxa"/>
            </w:tcMar>
            <w:vAlign w:val="center"/>
          </w:tcPr>
          <w:p>
            <w:pPr>
              <w:spacing w:after="0"/>
            </w:pPr>
            <w:r>
              <w:rPr>
                <w:rFonts w:ascii="Aptos" w:hAnsi="Aptos"/>
                <w:b/>
                <w:i w:val="0"/>
                <w:color w:val="17365D"/>
                <w:sz w:val="19"/>
              </w:rPr>
              <w:t>Cloud</w:t>
            </w:r>
          </w:p>
        </w:tc>
        <w:tc>
          <w:tcPr>
            <w:tcW w:type="dxa" w:w="7992"/>
            <w:tcMar>
              <w:top w:w="70" w:type="dxa"/>
              <w:start w:w="95" w:type="dxa"/>
              <w:bottom w:w="70" w:type="dxa"/>
              <w:end w:w="95" w:type="dxa"/>
            </w:tcMar>
            <w:vAlign w:val="center"/>
          </w:tcPr>
          <w:p>
            <w:pPr>
              <w:spacing w:after="0"/>
            </w:pPr>
            <w:r>
              <w:rPr>
                <w:rFonts w:ascii="Aptos" w:hAnsi="Aptos"/>
                <w:b w:val="0"/>
                <w:i w:val="0"/>
                <w:sz w:val="19"/>
              </w:rPr>
              <w:t>Microsoft 365 GCC High</w:t>
            </w:r>
          </w:p>
        </w:tc>
      </w:tr>
      <w:tr>
        <w:trPr>
          <w:cantSplit/>
        </w:trPr>
        <w:tc>
          <w:tcPr>
            <w:tcW w:type="dxa" w:w="1944"/>
            <w:shd w:fill="F2F2F2"/>
            <w:tcMar>
              <w:top w:w="70" w:type="dxa"/>
              <w:start w:w="95" w:type="dxa"/>
              <w:bottom w:w="70" w:type="dxa"/>
              <w:end w:w="95" w:type="dxa"/>
            </w:tcMar>
            <w:vAlign w:val="center"/>
          </w:tcPr>
          <w:p>
            <w:pPr>
              <w:spacing w:after="0"/>
            </w:pPr>
            <w:r>
              <w:rPr>
                <w:rFonts w:ascii="Aptos" w:hAnsi="Aptos"/>
                <w:b/>
                <w:i w:val="0"/>
                <w:color w:val="17365D"/>
                <w:sz w:val="19"/>
              </w:rPr>
              <w:t>Policy type</w:t>
            </w:r>
          </w:p>
        </w:tc>
        <w:tc>
          <w:tcPr>
            <w:tcW w:type="dxa" w:w="7992"/>
            <w:tcMar>
              <w:top w:w="70" w:type="dxa"/>
              <w:start w:w="95" w:type="dxa"/>
              <w:bottom w:w="70" w:type="dxa"/>
              <w:end w:w="95" w:type="dxa"/>
            </w:tcMar>
            <w:vAlign w:val="center"/>
          </w:tcPr>
          <w:p>
            <w:pPr>
              <w:spacing w:after="0"/>
            </w:pPr>
            <w:r>
              <w:rPr>
                <w:rFonts w:ascii="Aptos" w:hAnsi="Aptos"/>
                <w:b w:val="0"/>
                <w:i w:val="0"/>
                <w:sz w:val="19"/>
              </w:rPr>
              <w:t>Intune App Protection (MAM)</w:t>
            </w:r>
          </w:p>
        </w:tc>
      </w:tr>
      <w:tr>
        <w:trPr>
          <w:cantSplit/>
        </w:trPr>
        <w:tc>
          <w:tcPr>
            <w:tcW w:type="dxa" w:w="1944"/>
            <w:shd w:fill="F2F2F2"/>
            <w:tcMar>
              <w:top w:w="70" w:type="dxa"/>
              <w:start w:w="95" w:type="dxa"/>
              <w:bottom w:w="70" w:type="dxa"/>
              <w:end w:w="95" w:type="dxa"/>
            </w:tcMar>
            <w:vAlign w:val="center"/>
          </w:tcPr>
          <w:p>
            <w:pPr>
              <w:spacing w:after="0"/>
            </w:pPr>
            <w:r>
              <w:rPr>
                <w:rFonts w:ascii="Aptos" w:hAnsi="Aptos"/>
                <w:b/>
                <w:i w:val="0"/>
                <w:color w:val="17365D"/>
                <w:sz w:val="19"/>
              </w:rPr>
              <w:t>Deployment state</w:t>
            </w:r>
          </w:p>
        </w:tc>
        <w:tc>
          <w:tcPr>
            <w:tcW w:type="dxa" w:w="7992"/>
            <w:tcMar>
              <w:top w:w="70" w:type="dxa"/>
              <w:start w:w="95" w:type="dxa"/>
              <w:bottom w:w="70" w:type="dxa"/>
              <w:end w:w="95" w:type="dxa"/>
            </w:tcMar>
            <w:vAlign w:val="center"/>
          </w:tcPr>
          <w:p>
            <w:pPr>
              <w:spacing w:after="0"/>
            </w:pPr>
            <w:r>
              <w:rPr>
                <w:rFonts w:ascii="Aptos" w:hAnsi="Aptos"/>
                <w:b w:val="0"/>
                <w:i w:val="0"/>
                <w:sz w:val="19"/>
              </w:rPr>
              <w:t>Created unassigned; existing assignments preserved on update</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shd w:fill="FFF2CC"/>
            <w:tcMar>
              <w:top w:w="110" w:type="dxa"/>
              <w:start w:w="130" w:type="dxa"/>
              <w:bottom w:w="110" w:type="dxa"/>
              <w:end w:w="130" w:type="dxa"/>
            </w:tcMar>
          </w:tcPr>
          <w:p>
            <w:pPr>
              <w:spacing w:after="0"/>
            </w:pPr>
            <w:r>
              <w:rPr>
                <w:rFonts w:ascii="Aptos" w:hAnsi="Aptos"/>
                <w:b/>
                <w:i w:val="0"/>
                <w:color w:val="17365D"/>
                <w:sz w:val="21"/>
              </w:rPr>
              <w:t xml:space="preserve">Approval posture: </w:t>
            </w:r>
            <w:r>
              <w:rPr>
                <w:rFonts w:ascii="Aptos" w:hAnsi="Aptos"/>
                <w:b w:val="0"/>
                <w:i w:val="0"/>
                <w:sz w:val="21"/>
              </w:rPr>
              <w:t>Conditional approval: policy design recommended; correct the v1.1.0 result-reporting runtime defect before production deployment.</w:t>
            </w:r>
          </w:p>
        </w:tc>
      </w:tr>
    </w:tbl>
    <w:p>
      <w:pPr>
        <w:spacing w:after="0"/>
      </w:pPr>
    </w:p>
    <w:p>
      <w:pPr>
        <w:pStyle w:val="Heading1"/>
        <w:keepNext/>
      </w:pPr>
      <w:r>
        <w:rPr>
          <w:rFonts w:ascii="Aptos Display" w:hAnsi="Aptos Display"/>
          <w:b/>
          <w:color w:val="17365D"/>
          <w:sz w:val="28"/>
        </w:rPr>
        <w:t>1. Executive Summary</w:t>
      </w:r>
    </w:p>
    <w:p>
      <w:pPr>
        <w:spacing w:after="120" w:line="252" w:lineRule="auto"/>
      </w:pPr>
      <w:r>
        <w:rPr>
          <w:rFonts w:ascii="Aptos" w:hAnsi="Aptos"/>
          <w:b w:val="0"/>
          <w:i w:val="0"/>
          <w:sz w:val="21"/>
        </w:rPr>
        <w:t>This policy provides a restrictive Android Mobile Application Management (MAM) baseline that keeps organizational data within policy-managed applications and approved Microsoft storage/services. It is designed to protect corporate data at the application layer without automatically assigning the policy to users or groups.</w:t>
      </w:r>
    </w:p>
    <w:p>
      <w:pPr>
        <w:spacing w:after="120" w:line="252" w:lineRule="auto"/>
      </w:pPr>
      <w:r>
        <w:rPr>
          <w:rFonts w:ascii="Aptos" w:hAnsi="Aptos"/>
          <w:b w:val="0"/>
          <w:i w:val="0"/>
          <w:sz w:val="21"/>
        </w:rPr>
        <w:t>The policy targets all public apps for application eligibility, but its data-transfer rules limit organizational data to managed apps. It also requires app-data encryption, requires device compliance for access, and blocks several common exfiltration paths such as backup, Save As, screen capture, printing, and contact synchronization.</w:t>
      </w:r>
    </w:p>
    <w:p>
      <w:pPr>
        <w:pStyle w:val="Heading1"/>
        <w:keepNext/>
      </w:pPr>
      <w:r>
        <w:rPr>
          <w:rFonts w:ascii="Aptos Display" w:hAnsi="Aptos Display"/>
          <w:b/>
          <w:color w:val="17365D"/>
          <w:sz w:val="28"/>
        </w:rPr>
        <w:t>2. What the Policy Does</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2232"/>
            <w:shd w:fill="2F5597"/>
            <w:tcMar>
              <w:top w:w="100" w:type="dxa"/>
              <w:start w:w="110" w:type="dxa"/>
              <w:bottom w:w="100" w:type="dxa"/>
              <w:end w:w="110" w:type="dxa"/>
            </w:tcMar>
            <w:vAlign w:val="center"/>
          </w:tcPr>
          <w:p>
            <w:pPr>
              <w:jc w:val="center"/>
            </w:pPr>
            <w:r>
              <w:rPr>
                <w:rFonts w:ascii="Aptos" w:hAnsi="Aptos"/>
                <w:b/>
                <w:color w:val="FFFFFF"/>
                <w:sz w:val="19"/>
              </w:rPr>
              <w:t>Control</w:t>
            </w:r>
          </w:p>
        </w:tc>
        <w:tc>
          <w:tcPr>
            <w:tcW w:type="dxa" w:w="3024"/>
            <w:shd w:fill="2F5597"/>
            <w:tcMar>
              <w:top w:w="100" w:type="dxa"/>
              <w:start w:w="110" w:type="dxa"/>
              <w:bottom w:w="100" w:type="dxa"/>
              <w:end w:w="110" w:type="dxa"/>
            </w:tcMar>
            <w:vAlign w:val="center"/>
          </w:tcPr>
          <w:p>
            <w:pPr>
              <w:jc w:val="center"/>
            </w:pPr>
            <w:r>
              <w:rPr>
                <w:rFonts w:ascii="Aptos" w:hAnsi="Aptos"/>
                <w:b/>
                <w:color w:val="FFFFFF"/>
                <w:sz w:val="19"/>
              </w:rPr>
              <w:t>Configuration</w:t>
            </w:r>
          </w:p>
        </w:tc>
        <w:tc>
          <w:tcPr>
            <w:tcW w:type="dxa" w:w="5040"/>
            <w:shd w:fill="2F5597"/>
            <w:tcMar>
              <w:top w:w="100" w:type="dxa"/>
              <w:start w:w="110" w:type="dxa"/>
              <w:bottom w:w="100" w:type="dxa"/>
              <w:end w:w="110" w:type="dxa"/>
            </w:tcMar>
            <w:vAlign w:val="center"/>
          </w:tcPr>
          <w:p>
            <w:pPr>
              <w:jc w:val="center"/>
            </w:pPr>
            <w:r>
              <w:rPr>
                <w:rFonts w:ascii="Aptos" w:hAnsi="Aptos"/>
                <w:b/>
                <w:color w:val="FFFFFF"/>
                <w:sz w:val="19"/>
              </w:rPr>
              <w:t>Business Effect</w:t>
            </w:r>
          </w:p>
        </w:tc>
      </w:tr>
      <w:tr>
        <w:trPr>
          <w:cantSplit/>
        </w:trPr>
        <w:tc>
          <w:tcPr>
            <w:tcW w:type="dxa" w:w="2232"/>
            <w:tcMar>
              <w:top w:w="95" w:type="dxa"/>
              <w:start w:w="110" w:type="dxa"/>
              <w:bottom w:w="95" w:type="dxa"/>
              <w:end w:w="110" w:type="dxa"/>
            </w:tcMar>
            <w:vAlign w:val="center"/>
          </w:tcPr>
          <w:p>
            <w:pPr>
              <w:spacing w:after="0"/>
              <w:jc w:val="left"/>
            </w:pPr>
            <w:r>
              <w:rPr>
                <w:rFonts w:ascii="Aptos" w:hAnsi="Aptos"/>
                <w:color w:val="1F1F1F"/>
                <w:sz w:val="18"/>
              </w:rPr>
              <w:t>Outbound organizational data</w:t>
            </w:r>
          </w:p>
        </w:tc>
        <w:tc>
          <w:tcPr>
            <w:tcW w:type="dxa" w:w="3024"/>
            <w:tcMar>
              <w:top w:w="95" w:type="dxa"/>
              <w:start w:w="110" w:type="dxa"/>
              <w:bottom w:w="95" w:type="dxa"/>
              <w:end w:w="110" w:type="dxa"/>
            </w:tcMar>
            <w:vAlign w:val="center"/>
          </w:tcPr>
          <w:p>
            <w:pPr>
              <w:spacing w:after="0"/>
              <w:jc w:val="center"/>
            </w:pPr>
            <w:r>
              <w:rPr>
                <w:rFonts w:ascii="Aptos" w:hAnsi="Aptos"/>
                <w:color w:val="1F1F1F"/>
                <w:sz w:val="18"/>
              </w:rPr>
              <w:t>Managed apps only</w:t>
            </w:r>
          </w:p>
        </w:tc>
        <w:tc>
          <w:tcPr>
            <w:tcW w:type="dxa" w:w="5040"/>
            <w:tcMar>
              <w:top w:w="95" w:type="dxa"/>
              <w:start w:w="110" w:type="dxa"/>
              <w:bottom w:w="95" w:type="dxa"/>
              <w:end w:w="110" w:type="dxa"/>
            </w:tcMar>
            <w:vAlign w:val="center"/>
          </w:tcPr>
          <w:p>
            <w:pPr>
              <w:spacing w:after="0"/>
              <w:jc w:val="left"/>
            </w:pPr>
            <w:r>
              <w:rPr>
                <w:rFonts w:ascii="Aptos" w:hAnsi="Aptos"/>
                <w:color w:val="1F1F1F"/>
                <w:sz w:val="18"/>
              </w:rPr>
              <w:t>Prevents protected corporate data from being handed to unmanaged apps.</w:t>
            </w:r>
          </w:p>
        </w:tc>
      </w:tr>
      <w:tr>
        <w:trPr>
          <w:cantSplit/>
        </w:trPr>
        <w:tc>
          <w:tcPr>
            <w:tcW w:type="dxa" w:w="2232"/>
            <w:tcMar>
              <w:top w:w="95" w:type="dxa"/>
              <w:start w:w="110" w:type="dxa"/>
              <w:bottom w:w="95" w:type="dxa"/>
              <w:end w:w="110" w:type="dxa"/>
            </w:tcMar>
            <w:vAlign w:val="center"/>
          </w:tcPr>
          <w:p>
            <w:pPr>
              <w:spacing w:after="0"/>
              <w:jc w:val="left"/>
            </w:pPr>
            <w:r>
              <w:rPr>
                <w:rFonts w:ascii="Aptos" w:hAnsi="Aptos"/>
                <w:color w:val="1F1F1F"/>
                <w:sz w:val="18"/>
              </w:rPr>
              <w:t>Inbound organizational data</w:t>
            </w:r>
          </w:p>
        </w:tc>
        <w:tc>
          <w:tcPr>
            <w:tcW w:type="dxa" w:w="3024"/>
            <w:tcMar>
              <w:top w:w="95" w:type="dxa"/>
              <w:start w:w="110" w:type="dxa"/>
              <w:bottom w:w="95" w:type="dxa"/>
              <w:end w:w="110" w:type="dxa"/>
            </w:tcMar>
            <w:vAlign w:val="center"/>
          </w:tcPr>
          <w:p>
            <w:pPr>
              <w:spacing w:after="0"/>
              <w:jc w:val="center"/>
            </w:pPr>
            <w:r>
              <w:rPr>
                <w:rFonts w:ascii="Aptos" w:hAnsi="Aptos"/>
                <w:color w:val="1F1F1F"/>
                <w:sz w:val="18"/>
              </w:rPr>
              <w:t>Managed apps only</w:t>
            </w:r>
          </w:p>
        </w:tc>
        <w:tc>
          <w:tcPr>
            <w:tcW w:type="dxa" w:w="5040"/>
            <w:tcMar>
              <w:top w:w="95" w:type="dxa"/>
              <w:start w:w="110" w:type="dxa"/>
              <w:bottom w:w="95" w:type="dxa"/>
              <w:end w:w="110" w:type="dxa"/>
            </w:tcMar>
            <w:vAlign w:val="center"/>
          </w:tcPr>
          <w:p>
            <w:pPr>
              <w:spacing w:after="0"/>
              <w:jc w:val="left"/>
            </w:pPr>
            <w:r>
              <w:rPr>
                <w:rFonts w:ascii="Aptos" w:hAnsi="Aptos"/>
                <w:color w:val="1F1F1F"/>
                <w:sz w:val="18"/>
              </w:rPr>
              <w:t>Limits data entering managed apps to managed sources and approved ingestion locations.</w:t>
            </w:r>
          </w:p>
        </w:tc>
      </w:tr>
      <w:tr>
        <w:trPr>
          <w:cantSplit/>
        </w:trPr>
        <w:tc>
          <w:tcPr>
            <w:tcW w:type="dxa" w:w="2232"/>
            <w:tcMar>
              <w:top w:w="95" w:type="dxa"/>
              <w:start w:w="110" w:type="dxa"/>
              <w:bottom w:w="95" w:type="dxa"/>
              <w:end w:w="110" w:type="dxa"/>
            </w:tcMar>
            <w:vAlign w:val="center"/>
          </w:tcPr>
          <w:p>
            <w:pPr>
              <w:spacing w:after="0"/>
              <w:jc w:val="left"/>
            </w:pPr>
            <w:r>
              <w:rPr>
                <w:rFonts w:ascii="Aptos" w:hAnsi="Aptos"/>
                <w:color w:val="1F1F1F"/>
                <w:sz w:val="18"/>
              </w:rPr>
              <w:t>Clipboard</w:t>
            </w:r>
          </w:p>
        </w:tc>
        <w:tc>
          <w:tcPr>
            <w:tcW w:type="dxa" w:w="3024"/>
            <w:tcMar>
              <w:top w:w="95" w:type="dxa"/>
              <w:start w:w="110" w:type="dxa"/>
              <w:bottom w:w="95" w:type="dxa"/>
              <w:end w:w="110" w:type="dxa"/>
            </w:tcMar>
            <w:vAlign w:val="center"/>
          </w:tcPr>
          <w:p>
            <w:pPr>
              <w:spacing w:after="0"/>
              <w:jc w:val="center"/>
            </w:pPr>
            <w:r>
              <w:rPr>
                <w:rFonts w:ascii="Aptos" w:hAnsi="Aptos"/>
                <w:color w:val="1F1F1F"/>
                <w:sz w:val="18"/>
              </w:rPr>
              <w:t>Managed apps only</w:t>
            </w:r>
          </w:p>
        </w:tc>
        <w:tc>
          <w:tcPr>
            <w:tcW w:type="dxa" w:w="5040"/>
            <w:tcMar>
              <w:top w:w="95" w:type="dxa"/>
              <w:start w:w="110" w:type="dxa"/>
              <w:bottom w:w="95" w:type="dxa"/>
              <w:end w:w="110" w:type="dxa"/>
            </w:tcMar>
            <w:vAlign w:val="center"/>
          </w:tcPr>
          <w:p>
            <w:pPr>
              <w:spacing w:after="0"/>
              <w:jc w:val="left"/>
            </w:pPr>
            <w:r>
              <w:rPr>
                <w:rFonts w:ascii="Aptos" w:hAnsi="Aptos"/>
                <w:color w:val="1F1F1F"/>
                <w:sz w:val="18"/>
              </w:rPr>
              <w:t>Restricts organizational clipboard transfer to policy-managed apps.</w:t>
            </w:r>
          </w:p>
        </w:tc>
      </w:tr>
      <w:tr>
        <w:trPr>
          <w:cantSplit/>
        </w:trPr>
        <w:tc>
          <w:tcPr>
            <w:tcW w:type="dxa" w:w="2232"/>
            <w:tcMar>
              <w:top w:w="95" w:type="dxa"/>
              <w:start w:w="110" w:type="dxa"/>
              <w:bottom w:w="95" w:type="dxa"/>
              <w:end w:w="110" w:type="dxa"/>
            </w:tcMar>
            <w:vAlign w:val="center"/>
          </w:tcPr>
          <w:p>
            <w:pPr>
              <w:spacing w:after="0"/>
              <w:jc w:val="left"/>
            </w:pPr>
            <w:r>
              <w:rPr>
                <w:rFonts w:ascii="Aptos" w:hAnsi="Aptos"/>
                <w:color w:val="1F1F1F"/>
                <w:sz w:val="18"/>
              </w:rPr>
              <w:t>Storage</w:t>
            </w:r>
          </w:p>
        </w:tc>
        <w:tc>
          <w:tcPr>
            <w:tcW w:type="dxa" w:w="3024"/>
            <w:tcMar>
              <w:top w:w="95" w:type="dxa"/>
              <w:start w:w="110" w:type="dxa"/>
              <w:bottom w:w="95" w:type="dxa"/>
              <w:end w:w="110" w:type="dxa"/>
            </w:tcMar>
            <w:vAlign w:val="center"/>
          </w:tcPr>
          <w:p>
            <w:pPr>
              <w:spacing w:after="0"/>
              <w:jc w:val="center"/>
            </w:pPr>
            <w:r>
              <w:rPr>
                <w:rFonts w:ascii="Aptos" w:hAnsi="Aptos"/>
                <w:color w:val="1F1F1F"/>
                <w:sz w:val="18"/>
              </w:rPr>
              <w:t>OneDrive for Business and SharePoint</w:t>
            </w:r>
          </w:p>
        </w:tc>
        <w:tc>
          <w:tcPr>
            <w:tcW w:type="dxa" w:w="5040"/>
            <w:tcMar>
              <w:top w:w="95" w:type="dxa"/>
              <w:start w:w="110" w:type="dxa"/>
              <w:bottom w:w="95" w:type="dxa"/>
              <w:end w:w="110" w:type="dxa"/>
            </w:tcMar>
            <w:vAlign w:val="center"/>
          </w:tcPr>
          <w:p>
            <w:pPr>
              <w:spacing w:after="0"/>
              <w:jc w:val="left"/>
            </w:pPr>
            <w:r>
              <w:rPr>
                <w:rFonts w:ascii="Aptos" w:hAnsi="Aptos"/>
                <w:color w:val="1F1F1F"/>
                <w:sz w:val="18"/>
              </w:rPr>
              <w:t>Keeps protected data in approved organizational storage services.</w:t>
            </w:r>
          </w:p>
        </w:tc>
      </w:tr>
      <w:tr>
        <w:trPr>
          <w:cantSplit/>
        </w:trPr>
        <w:tc>
          <w:tcPr>
            <w:tcW w:type="dxa" w:w="2232"/>
            <w:tcMar>
              <w:top w:w="95" w:type="dxa"/>
              <w:start w:w="110" w:type="dxa"/>
              <w:bottom w:w="95" w:type="dxa"/>
              <w:end w:w="110" w:type="dxa"/>
            </w:tcMar>
            <w:vAlign w:val="center"/>
          </w:tcPr>
          <w:p>
            <w:pPr>
              <w:spacing w:after="0"/>
              <w:jc w:val="left"/>
            </w:pPr>
            <w:r>
              <w:rPr>
                <w:rFonts w:ascii="Aptos" w:hAnsi="Aptos"/>
                <w:color w:val="1F1F1F"/>
                <w:sz w:val="18"/>
              </w:rPr>
              <w:t>Backup / Save As</w:t>
            </w:r>
          </w:p>
        </w:tc>
        <w:tc>
          <w:tcPr>
            <w:tcW w:type="dxa" w:w="3024"/>
            <w:tcMar>
              <w:top w:w="95" w:type="dxa"/>
              <w:start w:w="110" w:type="dxa"/>
              <w:bottom w:w="95" w:type="dxa"/>
              <w:end w:w="110" w:type="dxa"/>
            </w:tcMar>
            <w:vAlign w:val="center"/>
          </w:tcPr>
          <w:p>
            <w:pPr>
              <w:spacing w:after="0"/>
              <w:jc w:val="center"/>
            </w:pPr>
            <w:r>
              <w:rPr>
                <w:rFonts w:ascii="Aptos" w:hAnsi="Aptos"/>
                <w:color w:val="1F1F1F"/>
                <w:sz w:val="18"/>
              </w:rPr>
              <w:t>Blocked</w:t>
            </w:r>
          </w:p>
        </w:tc>
        <w:tc>
          <w:tcPr>
            <w:tcW w:type="dxa" w:w="5040"/>
            <w:tcMar>
              <w:top w:w="95" w:type="dxa"/>
              <w:start w:w="110" w:type="dxa"/>
              <w:bottom w:w="95" w:type="dxa"/>
              <w:end w:w="110" w:type="dxa"/>
            </w:tcMar>
            <w:vAlign w:val="center"/>
          </w:tcPr>
          <w:p>
            <w:pPr>
              <w:spacing w:after="0"/>
              <w:jc w:val="left"/>
            </w:pPr>
            <w:r>
              <w:rPr>
                <w:rFonts w:ascii="Aptos" w:hAnsi="Aptos"/>
                <w:color w:val="1F1F1F"/>
                <w:sz w:val="18"/>
              </w:rPr>
              <w:t>Reduces creation of uncontrolled copies outside the managed boundary.</w:t>
            </w:r>
          </w:p>
        </w:tc>
      </w:tr>
      <w:tr>
        <w:trPr>
          <w:cantSplit/>
        </w:trPr>
        <w:tc>
          <w:tcPr>
            <w:tcW w:type="dxa" w:w="2232"/>
            <w:tcMar>
              <w:top w:w="95" w:type="dxa"/>
              <w:start w:w="110" w:type="dxa"/>
              <w:bottom w:w="95" w:type="dxa"/>
              <w:end w:w="110" w:type="dxa"/>
            </w:tcMar>
            <w:vAlign w:val="center"/>
          </w:tcPr>
          <w:p>
            <w:pPr>
              <w:spacing w:after="0"/>
              <w:jc w:val="left"/>
            </w:pPr>
            <w:r>
              <w:rPr>
                <w:rFonts w:ascii="Aptos" w:hAnsi="Aptos"/>
                <w:color w:val="1F1F1F"/>
                <w:sz w:val="18"/>
              </w:rPr>
              <w:t>Screen capture / Print</w:t>
            </w:r>
          </w:p>
        </w:tc>
        <w:tc>
          <w:tcPr>
            <w:tcW w:type="dxa" w:w="3024"/>
            <w:tcMar>
              <w:top w:w="95" w:type="dxa"/>
              <w:start w:w="110" w:type="dxa"/>
              <w:bottom w:w="95" w:type="dxa"/>
              <w:end w:w="110" w:type="dxa"/>
            </w:tcMar>
            <w:vAlign w:val="center"/>
          </w:tcPr>
          <w:p>
            <w:pPr>
              <w:spacing w:after="0"/>
              <w:jc w:val="center"/>
            </w:pPr>
            <w:r>
              <w:rPr>
                <w:rFonts w:ascii="Aptos" w:hAnsi="Aptos"/>
                <w:color w:val="1F1F1F"/>
                <w:sz w:val="18"/>
              </w:rPr>
              <w:t>Blocked</w:t>
            </w:r>
          </w:p>
        </w:tc>
        <w:tc>
          <w:tcPr>
            <w:tcW w:type="dxa" w:w="5040"/>
            <w:tcMar>
              <w:top w:w="95" w:type="dxa"/>
              <w:start w:w="110" w:type="dxa"/>
              <w:bottom w:w="95" w:type="dxa"/>
              <w:end w:w="110" w:type="dxa"/>
            </w:tcMar>
            <w:vAlign w:val="center"/>
          </w:tcPr>
          <w:p>
            <w:pPr>
              <w:spacing w:after="0"/>
              <w:jc w:val="left"/>
            </w:pPr>
            <w:r>
              <w:rPr>
                <w:rFonts w:ascii="Aptos" w:hAnsi="Aptos"/>
                <w:color w:val="1F1F1F"/>
                <w:sz w:val="18"/>
              </w:rPr>
              <w:t>Reduces casual extraction of protected content.</w:t>
            </w:r>
          </w:p>
        </w:tc>
      </w:tr>
      <w:tr>
        <w:trPr>
          <w:cantSplit/>
        </w:trPr>
        <w:tc>
          <w:tcPr>
            <w:tcW w:type="dxa" w:w="2232"/>
            <w:tcMar>
              <w:top w:w="95" w:type="dxa"/>
              <w:start w:w="110" w:type="dxa"/>
              <w:bottom w:w="95" w:type="dxa"/>
              <w:end w:w="110" w:type="dxa"/>
            </w:tcMar>
            <w:vAlign w:val="center"/>
          </w:tcPr>
          <w:p>
            <w:pPr>
              <w:spacing w:after="0"/>
              <w:jc w:val="left"/>
            </w:pPr>
            <w:r>
              <w:rPr>
                <w:rFonts w:ascii="Aptos" w:hAnsi="Aptos"/>
                <w:color w:val="1F1F1F"/>
                <w:sz w:val="18"/>
              </w:rPr>
              <w:t>App data encryption</w:t>
            </w:r>
          </w:p>
        </w:tc>
        <w:tc>
          <w:tcPr>
            <w:tcW w:type="dxa" w:w="3024"/>
            <w:tcMar>
              <w:top w:w="95" w:type="dxa"/>
              <w:start w:w="110" w:type="dxa"/>
              <w:bottom w:w="95" w:type="dxa"/>
              <w:end w:w="110" w:type="dxa"/>
            </w:tcMar>
            <w:vAlign w:val="center"/>
          </w:tcPr>
          <w:p>
            <w:pPr>
              <w:spacing w:after="0"/>
              <w:jc w:val="center"/>
            </w:pPr>
            <w:r>
              <w:rPr>
                <w:rFonts w:ascii="Aptos" w:hAnsi="Aptos"/>
                <w:color w:val="1F1F1F"/>
                <w:sz w:val="18"/>
              </w:rPr>
              <w:t>Required</w:t>
            </w:r>
          </w:p>
        </w:tc>
        <w:tc>
          <w:tcPr>
            <w:tcW w:type="dxa" w:w="5040"/>
            <w:tcMar>
              <w:top w:w="95" w:type="dxa"/>
              <w:start w:w="110" w:type="dxa"/>
              <w:bottom w:w="95" w:type="dxa"/>
              <w:end w:w="110" w:type="dxa"/>
            </w:tcMar>
            <w:vAlign w:val="center"/>
          </w:tcPr>
          <w:p>
            <w:pPr>
              <w:spacing w:after="0"/>
              <w:jc w:val="left"/>
            </w:pPr>
            <w:r>
              <w:rPr>
                <w:rFonts w:ascii="Aptos" w:hAnsi="Aptos"/>
                <w:color w:val="1F1F1F"/>
                <w:sz w:val="18"/>
              </w:rPr>
              <w:t>Encrypts protected application data.</w:t>
            </w:r>
          </w:p>
        </w:tc>
      </w:tr>
      <w:tr>
        <w:trPr>
          <w:cantSplit/>
        </w:trPr>
        <w:tc>
          <w:tcPr>
            <w:tcW w:type="dxa" w:w="2232"/>
            <w:tcMar>
              <w:top w:w="95" w:type="dxa"/>
              <w:start w:w="110" w:type="dxa"/>
              <w:bottom w:w="95" w:type="dxa"/>
              <w:end w:w="110" w:type="dxa"/>
            </w:tcMar>
            <w:vAlign w:val="center"/>
          </w:tcPr>
          <w:p>
            <w:pPr>
              <w:spacing w:after="0"/>
              <w:jc w:val="left"/>
            </w:pPr>
            <w:r>
              <w:rPr>
                <w:rFonts w:ascii="Aptos" w:hAnsi="Aptos"/>
                <w:color w:val="1F1F1F"/>
                <w:sz w:val="18"/>
              </w:rPr>
              <w:t>Device compliance</w:t>
            </w:r>
          </w:p>
        </w:tc>
        <w:tc>
          <w:tcPr>
            <w:tcW w:type="dxa" w:w="3024"/>
            <w:tcMar>
              <w:top w:w="95" w:type="dxa"/>
              <w:start w:w="110" w:type="dxa"/>
              <w:bottom w:w="95" w:type="dxa"/>
              <w:end w:w="110" w:type="dxa"/>
            </w:tcMar>
            <w:vAlign w:val="center"/>
          </w:tcPr>
          <w:p>
            <w:pPr>
              <w:spacing w:after="0"/>
              <w:jc w:val="center"/>
            </w:pPr>
            <w:r>
              <w:rPr>
                <w:rFonts w:ascii="Aptos" w:hAnsi="Aptos"/>
                <w:color w:val="1F1F1F"/>
                <w:sz w:val="18"/>
              </w:rPr>
              <w:t>Required; block if not compliant</w:t>
            </w:r>
          </w:p>
        </w:tc>
        <w:tc>
          <w:tcPr>
            <w:tcW w:type="dxa" w:w="5040"/>
            <w:tcMar>
              <w:top w:w="95" w:type="dxa"/>
              <w:start w:w="110" w:type="dxa"/>
              <w:bottom w:w="95" w:type="dxa"/>
              <w:end w:w="110" w:type="dxa"/>
            </w:tcMar>
            <w:vAlign w:val="center"/>
          </w:tcPr>
          <w:p>
            <w:pPr>
              <w:spacing w:after="0"/>
              <w:jc w:val="left"/>
            </w:pPr>
            <w:r>
              <w:rPr>
                <w:rFonts w:ascii="Aptos" w:hAnsi="Aptos"/>
                <w:color w:val="1F1F1F"/>
                <w:sz w:val="18"/>
              </w:rPr>
              <w:t>Prevents access when Intune reports the device as noncompliant.</w:t>
            </w:r>
          </w:p>
        </w:tc>
      </w:tr>
      <w:tr>
        <w:trPr>
          <w:cantSplit/>
        </w:trPr>
        <w:tc>
          <w:tcPr>
            <w:tcW w:type="dxa" w:w="2232"/>
            <w:tcMar>
              <w:top w:w="95" w:type="dxa"/>
              <w:start w:w="110" w:type="dxa"/>
              <w:bottom w:w="95" w:type="dxa"/>
              <w:end w:w="110" w:type="dxa"/>
            </w:tcMar>
            <w:vAlign w:val="center"/>
          </w:tcPr>
          <w:p>
            <w:pPr>
              <w:spacing w:after="0"/>
              <w:jc w:val="left"/>
            </w:pPr>
            <w:r>
              <w:rPr>
                <w:rFonts w:ascii="Aptos" w:hAnsi="Aptos"/>
                <w:color w:val="1F1F1F"/>
                <w:sz w:val="18"/>
              </w:rPr>
              <w:t>Managed web links</w:t>
            </w:r>
          </w:p>
        </w:tc>
        <w:tc>
          <w:tcPr>
            <w:tcW w:type="dxa" w:w="3024"/>
            <w:tcMar>
              <w:top w:w="95" w:type="dxa"/>
              <w:start w:w="110" w:type="dxa"/>
              <w:bottom w:w="95" w:type="dxa"/>
              <w:end w:w="110" w:type="dxa"/>
            </w:tcMar>
            <w:vAlign w:val="center"/>
          </w:tcPr>
          <w:p>
            <w:pPr>
              <w:spacing w:after="0"/>
              <w:jc w:val="center"/>
            </w:pPr>
            <w:r>
              <w:rPr>
                <w:rFonts w:ascii="Aptos" w:hAnsi="Aptos"/>
                <w:color w:val="1F1F1F"/>
                <w:sz w:val="18"/>
              </w:rPr>
              <w:t>Microsoft Edge required</w:t>
            </w:r>
          </w:p>
        </w:tc>
        <w:tc>
          <w:tcPr>
            <w:tcW w:type="dxa" w:w="5040"/>
            <w:tcMar>
              <w:top w:w="95" w:type="dxa"/>
              <w:start w:w="110" w:type="dxa"/>
              <w:bottom w:w="95" w:type="dxa"/>
              <w:end w:w="110" w:type="dxa"/>
            </w:tcMar>
            <w:vAlign w:val="center"/>
          </w:tcPr>
          <w:p>
            <w:pPr>
              <w:spacing w:after="0"/>
              <w:jc w:val="left"/>
            </w:pPr>
            <w:r>
              <w:rPr>
                <w:rFonts w:ascii="Aptos" w:hAnsi="Aptos"/>
                <w:color w:val="1F1F1F"/>
                <w:sz w:val="18"/>
              </w:rPr>
              <w:t>Routes managed links through the managed browser experience.</w:t>
            </w:r>
          </w:p>
        </w:tc>
      </w:tr>
    </w:tbl>
    <w:p>
      <w:pPr>
        <w:pStyle w:val="Heading1"/>
        <w:keepNext/>
      </w:pPr>
      <w:r>
        <w:rPr>
          <w:rFonts w:ascii="Aptos Display" w:hAnsi="Aptos Display"/>
          <w:b/>
          <w:color w:val="17365D"/>
          <w:sz w:val="28"/>
        </w:rPr>
        <w:t>3. How It Works</w:t>
      </w:r>
    </w:p>
    <w:p>
      <w:pPr>
        <w:spacing w:after="120" w:line="252" w:lineRule="auto"/>
      </w:pPr>
      <w:r>
        <w:rPr>
          <w:rFonts w:ascii="Aptos" w:hAnsi="Aptos"/>
          <w:b w:val="0"/>
          <w:i w:val="0"/>
          <w:sz w:val="21"/>
        </w:rPr>
        <w:t>The script creates or updates an Android managed app protection policy through Microsoft Graph. It searches for an exact display-name match, stops when duplicate exact-name policies exist, PATCHes one existing policy, or POSTs a new policy when none exists.</w:t>
      </w:r>
    </w:p>
    <w:p>
      <w:pPr>
        <w:spacing w:after="120" w:line="252" w:lineRule="auto"/>
      </w:pPr>
      <w:r>
        <w:rPr>
          <w:rFonts w:ascii="Aptos" w:hAnsi="Aptos"/>
          <w:b w:val="0"/>
          <w:i w:val="0"/>
          <w:sz w:val="21"/>
        </w:rPr>
        <w:t>The payload sets appGroupType to allApps, but this is application targeting only. The actual data-transfer boundary is established through managedApps values for inbound transfer, outbound transfer, and clipboard sharing. The policy separately enables encryption, blocks backup, Save As, screen capture, contact sync, and printing, and requires device compliance before protected app access is allowed.</w:t>
      </w:r>
    </w:p>
    <w:p>
      <w:pPr>
        <w:pStyle w:val="Heading1"/>
        <w:keepNext/>
      </w:pPr>
      <w:r>
        <w:rPr>
          <w:rFonts w:ascii="Aptos Display" w:hAnsi="Aptos Display"/>
          <w:b/>
          <w:color w:val="17365D"/>
          <w:sz w:val="28"/>
        </w:rPr>
        <w:t>4. Why This Policy Is Important</w:t>
      </w:r>
    </w:p>
    <w:p>
      <w:pPr>
        <w:spacing w:after="120" w:line="252" w:lineRule="auto"/>
      </w:pPr>
      <w:r>
        <w:rPr>
          <w:rFonts w:ascii="Aptos" w:hAnsi="Aptos"/>
          <w:b w:val="0"/>
          <w:i w:val="0"/>
          <w:sz w:val="21"/>
        </w:rPr>
        <w:t>Mobile application protection is most valuable when corporate data can be controlled independently of the ownership of the Android device. This policy reduces the risk that users move organizational information into personal apps, consumer storage, screenshots, print workflows, device backups, or unmanaged contact stores.</w:t>
      </w:r>
    </w:p>
    <w:p>
      <w:pPr>
        <w:spacing w:after="120" w:line="252" w:lineRule="auto"/>
      </w:pPr>
      <w:r>
        <w:rPr>
          <w:rFonts w:ascii="Aptos" w:hAnsi="Aptos"/>
          <w:b w:val="0"/>
          <w:i w:val="0"/>
          <w:sz w:val="21"/>
        </w:rPr>
        <w:t>The managed-app-only model is appropriate when a client wants a clear business/personal data boundary and is willing to accept additional workflow restrictions in exchange for stronger data-loss prevention.</w:t>
      </w:r>
    </w:p>
    <w:p>
      <w:pPr>
        <w:pStyle w:val="Heading1"/>
        <w:keepNext/>
      </w:pPr>
      <w:r>
        <w:rPr>
          <w:rFonts w:ascii="Aptos Display" w:hAnsi="Aptos Display"/>
          <w:b/>
          <w:color w:val="17365D"/>
          <w:sz w:val="28"/>
        </w:rPr>
        <w:t>5. User Impact</w:t>
      </w:r>
    </w:p>
    <w:tbl>
      <w:tblPr>
        <w:tblW w:type="auto" w:w="0"/>
        <w:jc w:val="center"/>
        <w:tblLayout w:type="autofit"/>
        <w:tblLook w:firstColumn="1" w:firstRow="1" w:lastColumn="0" w:lastRow="0" w:noHBand="0" w:noVBand="1" w:val="04A0"/>
      </w:tblPr>
      <w:tblGrid>
        <w:gridCol w:w="10282"/>
      </w:tblGrid>
      <w:tr>
        <w:trPr>
          <w:cantSplit/>
        </w:trPr>
        <w:tc>
          <w:tcPr>
            <w:tcW w:type="dxa" w:w="10282"/>
            <w:shd w:fill="FFF2CC"/>
            <w:tcMar>
              <w:top w:w="110" w:type="dxa"/>
              <w:start w:w="130" w:type="dxa"/>
              <w:bottom w:w="110" w:type="dxa"/>
              <w:end w:w="130" w:type="dxa"/>
            </w:tcMar>
          </w:tcPr>
          <w:p>
            <w:pPr>
              <w:spacing w:after="0"/>
            </w:pPr>
            <w:r>
              <w:rPr>
                <w:rFonts w:ascii="Aptos" w:hAnsi="Aptos"/>
                <w:b/>
                <w:i w:val="0"/>
                <w:color w:val="17365D"/>
                <w:sz w:val="21"/>
              </w:rPr>
              <w:t xml:space="preserve">Expected impact: </w:t>
            </w:r>
            <w:r>
              <w:rPr>
                <w:rFonts w:ascii="Aptos" w:hAnsi="Aptos"/>
                <w:b w:val="0"/>
                <w:i w:val="0"/>
                <w:sz w:val="21"/>
              </w:rPr>
              <w:t>Moderate to High. Users can be prevented from copying, opening, saving, printing, backing up, or screen-capturing organizational data outside approved managed workflows. Personal device use remains separate, but movement between personal and protected business apps is intentionally constrained.</w:t>
            </w:r>
          </w:p>
        </w:tc>
      </w:tr>
    </w:tbl>
    <w:p>
      <w:pPr>
        <w:spacing w:after="0"/>
      </w:pPr>
    </w:p>
    <w:p>
      <w:pPr>
        <w:pStyle w:val="Heading1"/>
        <w:keepNext/>
      </w:pPr>
      <w:r>
        <w:rPr>
          <w:rFonts w:ascii="Aptos Display" w:hAnsi="Aptos Display"/>
          <w:b/>
          <w:color w:val="17365D"/>
          <w:sz w:val="28"/>
        </w:rPr>
        <w:t>6. Security Posture</w:t>
      </w:r>
    </w:p>
    <w:tbl>
      <w:tblPr>
        <w:tblW w:type="auto" w:w="0"/>
        <w:jc w:val="center"/>
        <w:tblLayout w:type="autofit"/>
        <w:tblLook w:firstColumn="1" w:firstRow="1" w:lastColumn="0" w:lastRow="0" w:noHBand="0" w:noVBand="1" w:val="04A0"/>
      </w:tblPr>
      <w:tblGrid>
        <w:gridCol w:w="10282"/>
      </w:tblGrid>
      <w:tr>
        <w:trPr>
          <w:cantSplit/>
        </w:trPr>
        <w:tc>
          <w:tcPr>
            <w:tcW w:type="dxa" w:w="10282"/>
            <w:shd w:fill="EAF2F8"/>
            <w:tcMar>
              <w:top w:w="110" w:type="dxa"/>
              <w:start w:w="130" w:type="dxa"/>
              <w:bottom w:w="110" w:type="dxa"/>
              <w:end w:w="130" w:type="dxa"/>
            </w:tcMar>
          </w:tcPr>
          <w:p>
            <w:pPr>
              <w:spacing w:after="0"/>
            </w:pPr>
            <w:r>
              <w:rPr>
                <w:rFonts w:ascii="Aptos" w:hAnsi="Aptos"/>
                <w:b/>
                <w:i w:val="0"/>
                <w:color w:val="17365D"/>
                <w:sz w:val="21"/>
              </w:rPr>
              <w:t xml:space="preserve">Classification: </w:t>
            </w:r>
            <w:r>
              <w:rPr>
                <w:rFonts w:ascii="Aptos" w:hAnsi="Aptos"/>
                <w:b w:val="0"/>
                <w:i w:val="0"/>
                <w:sz w:val="21"/>
              </w:rPr>
              <w:t>Enhanced Android MAM data-loss prevention. This is the stronger of the two Android App Protection variants in this set because it restricts managed data movement while also requiring encryption and device compliance.</w:t>
            </w:r>
          </w:p>
        </w:tc>
      </w:tr>
    </w:tbl>
    <w:p>
      <w:pPr>
        <w:spacing w:after="0"/>
      </w:pPr>
    </w:p>
    <w:p>
      <w:pPr>
        <w:pStyle w:val="Heading1"/>
        <w:keepNext/>
      </w:pPr>
      <w:r>
        <w:rPr>
          <w:rFonts w:ascii="Aptos Display" w:hAnsi="Aptos Display"/>
          <w:b/>
          <w:color w:val="17365D"/>
          <w:sz w:val="28"/>
        </w:rPr>
        <w:t>7. Deployment and Assignment</w:t>
      </w:r>
    </w:p>
    <w:p>
      <w:pPr>
        <w:spacing w:after="120" w:line="252" w:lineRule="auto"/>
      </w:pPr>
      <w:r>
        <w:rPr>
          <w:rFonts w:ascii="Aptos" w:hAnsi="Aptos"/>
          <w:b w:val="0"/>
          <w:i w:val="0"/>
          <w:sz w:val="21"/>
        </w:rPr>
        <w:t>The script does not call an assignment endpoint. A newly created policy remains unassigned, while an update changes the policy object only and therefore preserves whatever assignments already exist. Application targeting in the payload defines which apps the MAM settings can protect; it is not a user or group assignment.</w:t>
      </w:r>
    </w:p>
    <w:p>
      <w:pPr>
        <w:spacing w:after="120" w:line="252" w:lineRule="auto"/>
      </w:pPr>
      <w:r>
        <w:rPr>
          <w:rFonts w:ascii="Aptos" w:hAnsi="Aptos"/>
          <w:b w:val="0"/>
          <w:i w:val="0"/>
          <w:sz w:val="21"/>
        </w:rPr>
        <w:t>Technicians should select the user/group scope for each client environment after validating licensing, supported apps, device ownership expectations, and overlap with other App Protection Policies.</w:t>
      </w:r>
    </w:p>
    <w:p>
      <w:pPr>
        <w:pStyle w:val="Heading1"/>
        <w:keepNext/>
      </w:pPr>
      <w:r>
        <w:rPr>
          <w:rFonts w:ascii="Aptos Display" w:hAnsi="Aptos Display"/>
          <w:b/>
          <w:color w:val="17365D"/>
          <w:sz w:val="28"/>
        </w:rPr>
        <w:t>8. Approval Recommendation</w:t>
      </w:r>
    </w:p>
    <w:p>
      <w:pPr>
        <w:spacing w:after="120" w:line="252" w:lineRule="auto"/>
      </w:pPr>
      <w:r>
        <w:rPr>
          <w:rFonts w:ascii="Aptos" w:hAnsi="Aptos"/>
          <w:b w:val="0"/>
          <w:i w:val="0"/>
          <w:sz w:val="21"/>
        </w:rPr>
        <w:t>Recommended for approval as the standard Android MAM option for clients that require strong separation of corporate and personal application data. Production use of the current v1.1.0 automation should wait until the result-reporting defect described below is corrected. Pilot deployment should then validate legitimate copy/paste, document-sharing, printing, browser, and contact workflows before broad assignment.</w:t>
      </w:r>
    </w:p>
    <w:p>
      <w:pPr>
        <w:pStyle w:val="Heading1"/>
        <w:keepNext/>
      </w:pPr>
      <w:r>
        <w:rPr>
          <w:rFonts w:ascii="Aptos Display" w:hAnsi="Aptos Display"/>
          <w:b/>
          <w:color w:val="17365D"/>
          <w:sz w:val="28"/>
        </w:rPr>
        <w:t>9. Implementation Note / Exceptions</w:t>
      </w:r>
    </w:p>
    <w:p>
      <w:pPr>
        <w:spacing w:after="120" w:line="252" w:lineRule="auto"/>
      </w:pPr>
      <w:r>
        <w:rPr>
          <w:rFonts w:ascii="Aptos" w:hAnsi="Aptos"/>
          <w:b w:val="0"/>
          <w:i w:val="0"/>
          <w:sz w:val="21"/>
        </w:rPr>
        <w:t>The v1.1.0 script has an implementation defect in both its update and create success paths: the Results object tests $action to decide whether assignments were preserved, but $action is never initialized in either branch. Because Set-StrictMode -Version Latest is enabled, this can throw after the Graph create/update has already succeeded, causing the script to report failure after changing the policy. Correct that result-reporting logic before production use.</w:t>
      </w:r>
    </w:p>
    <w:p>
      <w:pPr>
        <w:spacing w:after="120" w:line="252" w:lineRule="auto"/>
      </w:pPr>
      <w:r>
        <w:rPr>
          <w:rFonts w:ascii="Aptos" w:hAnsi="Aptos"/>
          <w:b w:val="0"/>
          <w:i w:val="0"/>
          <w:sz w:val="21"/>
        </w:rPr>
        <w:t>The policy does not require an application PIN (pinRequired = false). Its access gate relies on device compliance rather than a separate MAM PIN. The script also uses very long offline/online access-check intervals and an effectively disabled wipe interval; those values should be treated as intentional policy choices and reviewed if the client expects more frequent revalidation or offline selective-wipe behavior.</w:t>
      </w:r>
    </w:p>
    <w:p>
      <w:pPr>
        <w:spacing w:after="120" w:line="252" w:lineRule="auto"/>
      </w:pPr>
      <w:r>
        <w:rPr>
          <w:rFonts w:ascii="Aptos" w:hAnsi="Aptos"/>
          <w:b w:val="0"/>
          <w:i w:val="0"/>
          <w:sz w:val="21"/>
        </w:rPr>
        <w:t>The policy description says it "blocks rooted devices," but the actual payload does not contain an explicit rooted-device setting. The enforceable controls documented here are based on the payload itself, so rooted-device blocking should not be represented as guaranteed by this script without a separate supporting setting or policy.</w:t>
      </w:r>
    </w:p>
    <w:sectPr w:rsidR="00FC693F" w:rsidRPr="0006063C" w:rsidSect="00034616">
      <w:footerReference w:type="default" r:id="rId9"/>
      <w:pgSz w:w="12240" w:h="15840"/>
      <w:pgMar w:top="950"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66666"/>
        <w:sz w:val="17"/>
      </w:rPr>
      <w:t>Executive Policy Overview | Resilient 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