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Executive Policy Overview</w:t>
      </w:r>
    </w:p>
    <w:p>
      <w:pPr>
        <w:pStyle w:val="Subtitle"/>
      </w:pPr>
      <w:r>
        <w:t>Intune Device Enrollment Notifications</w:t>
      </w:r>
    </w:p>
    <w:tbl>
      <w:tblPr>
        <w:tblW w:type="auto" w:w="0"/>
        <w:tblLayout w:type="fixed"/>
        <w:tblLook w:firstColumn="1" w:firstRow="1" w:lastColumn="0" w:lastRow="0" w:noHBand="0" w:noVBand="1" w:val="04A0"/>
      </w:tblPr>
      <w:tblGrid>
        <w:gridCol w:w="1944"/>
        <w:gridCol w:w="8352"/>
      </w:tblGrid>
      <w:tr>
        <w:trPr>
          <w:cantSplit/>
        </w:trPr>
        <w:tc>
          <w:tcPr>
            <w:tcW w:type="dxa" w:w="5112"/>
            <w:shd w:fill="D9EAF7"/>
            <w:tcMar>
              <w:top w:w="90" w:type="dxa"/>
              <w:start w:w="90" w:type="dxa"/>
              <w:bottom w:w="90" w:type="dxa"/>
              <w:end w:w="90" w:type="dxa"/>
            </w:tcMar>
            <w:vAlign w:val="center"/>
          </w:tcPr>
          <w:p>
            <w:r>
              <w:rPr>
                <w:b/>
                <w:color w:val="17365D"/>
              </w:rPr>
              <w:t>Platform</w:t>
            </w:r>
          </w:p>
        </w:tc>
        <w:tc>
          <w:tcPr>
            <w:tcW w:type="dxa" w:w="5112"/>
            <w:tcMar>
              <w:top w:w="90" w:type="dxa"/>
              <w:start w:w="90" w:type="dxa"/>
              <w:bottom w:w="90" w:type="dxa"/>
              <w:end w:w="90" w:type="dxa"/>
            </w:tcMar>
            <w:vAlign w:val="center"/>
          </w:tcPr>
          <w:p>
            <w:r>
              <w:t>Multi-platform</w:t>
            </w:r>
          </w:p>
        </w:tc>
      </w:tr>
      <w:tr>
        <w:trPr>
          <w:cantSplit/>
        </w:trPr>
        <w:tc>
          <w:tcPr>
            <w:tcW w:type="dxa" w:w="5112"/>
            <w:shd w:fill="D9EAF7"/>
            <w:tcMar>
              <w:top w:w="90" w:type="dxa"/>
              <w:start w:w="90" w:type="dxa"/>
              <w:bottom w:w="90" w:type="dxa"/>
              <w:end w:w="90" w:type="dxa"/>
            </w:tcMar>
            <w:vAlign w:val="center"/>
          </w:tcPr>
          <w:p>
            <w:r>
              <w:rPr>
                <w:b/>
                <w:color w:val="17365D"/>
              </w:rPr>
              <w:t>Cloud</w:t>
            </w:r>
          </w:p>
        </w:tc>
        <w:tc>
          <w:tcPr>
            <w:tcW w:type="dxa" w:w="5112"/>
            <w:tcMar>
              <w:top w:w="90" w:type="dxa"/>
              <w:start w:w="90" w:type="dxa"/>
              <w:bottom w:w="90" w:type="dxa"/>
              <w:end w:w="90" w:type="dxa"/>
            </w:tcMar>
            <w:vAlign w:val="center"/>
          </w:tcPr>
          <w:p>
            <w:r>
              <w:t>Microsoft 365 GCC High</w:t>
            </w:r>
          </w:p>
        </w:tc>
      </w:tr>
      <w:tr>
        <w:trPr>
          <w:cantSplit/>
        </w:trPr>
        <w:tc>
          <w:tcPr>
            <w:tcW w:type="dxa" w:w="5112"/>
            <w:shd w:fill="D9EAF7"/>
            <w:tcMar>
              <w:top w:w="90" w:type="dxa"/>
              <w:start w:w="90" w:type="dxa"/>
              <w:bottom w:w="90" w:type="dxa"/>
              <w:end w:w="90" w:type="dxa"/>
            </w:tcMar>
            <w:vAlign w:val="center"/>
          </w:tcPr>
          <w:p>
            <w:r>
              <w:rPr>
                <w:b/>
                <w:color w:val="17365D"/>
              </w:rPr>
              <w:t>Policy type</w:t>
            </w:r>
          </w:p>
        </w:tc>
        <w:tc>
          <w:tcPr>
            <w:tcW w:type="dxa" w:w="5112"/>
            <w:tcMar>
              <w:top w:w="90" w:type="dxa"/>
              <w:start w:w="90" w:type="dxa"/>
              <w:bottom w:w="90" w:type="dxa"/>
              <w:end w:w="90" w:type="dxa"/>
            </w:tcMar>
            <w:vAlign w:val="center"/>
          </w:tcPr>
          <w:p>
            <w:r>
              <w:t>Enrollment notification configuration</w:t>
            </w:r>
          </w:p>
        </w:tc>
      </w:tr>
      <w:tr>
        <w:trPr>
          <w:cantSplit/>
        </w:trPr>
        <w:tc>
          <w:tcPr>
            <w:tcW w:type="dxa" w:w="5112"/>
            <w:shd w:fill="D9EAF7"/>
            <w:tcMar>
              <w:top w:w="90" w:type="dxa"/>
              <w:start w:w="90" w:type="dxa"/>
              <w:bottom w:w="90" w:type="dxa"/>
              <w:end w:w="90" w:type="dxa"/>
            </w:tcMar>
            <w:vAlign w:val="center"/>
          </w:tcPr>
          <w:p>
            <w:r>
              <w:rPr>
                <w:b/>
                <w:color w:val="17365D"/>
              </w:rPr>
              <w:t>Deployment state</w:t>
            </w:r>
          </w:p>
        </w:tc>
        <w:tc>
          <w:tcPr>
            <w:tcW w:type="dxa" w:w="5112"/>
            <w:tcMar>
              <w:top w:w="90" w:type="dxa"/>
              <w:start w:w="90" w:type="dxa"/>
              <w:bottom w:w="90" w:type="dxa"/>
              <w:end w:w="90" w:type="dxa"/>
            </w:tcMar>
            <w:vAlign w:val="center"/>
          </w:tcPr>
          <w:p>
            <w:r>
              <w:t>Current script automatically assigns every notification to All Licensed Users</w:t>
            </w:r>
          </w:p>
        </w:tc>
      </w:tr>
    </w:tbl>
    <w:p/>
    <w:tbl>
      <w:tblPr>
        <w:tblW w:type="auto" w:w="0"/>
        <w:tblLook w:firstColumn="1" w:firstRow="1" w:lastColumn="0" w:lastRow="0" w:noHBand="0" w:noVBand="1" w:val="04A0"/>
      </w:tblPr>
      <w:tblGrid>
        <w:gridCol w:w="10224"/>
      </w:tblGrid>
      <w:tr>
        <w:tc>
          <w:tcPr>
            <w:tcW w:type="dxa" w:w="10224"/>
            <w:shd w:fill="FCE4D6"/>
            <w:tcMar>
              <w:top w:w="120" w:type="dxa"/>
              <w:start w:w="120" w:type="dxa"/>
              <w:bottom w:w="120" w:type="dxa"/>
              <w:end w:w="120" w:type="dxa"/>
            </w:tcMar>
          </w:tcPr>
          <w:p>
            <w:r>
              <w:rPr>
                <w:b/>
                <w:color w:val="17365D"/>
              </w:rPr>
              <w:t xml:space="preserve">Approval posture: </w:t>
            </w:r>
            <w:r>
              <w:t>Conditional approval — remove automatic assignment before deployment</w:t>
            </w:r>
          </w:p>
        </w:tc>
      </w:tr>
    </w:tbl>
    <w:p>
      <w:pPr>
        <w:pStyle w:val="Heading1"/>
      </w:pPr>
      <w:r>
        <w:t>1. Executive Summary</w:t>
      </w:r>
    </w:p>
    <w:p>
      <w:r>
        <w:t>This automation creates standardized post-enrollment notifications for iOS/iPadOS, Android Enterprise, macOS, and Windows. It sends email notifications on all four platforms and Company Portal push notifications on iOS/iPadOS, Android Enterprise, and macOS. The message tells the user that a device was enrolled, provides a path to report an unexpected enrollment, and includes Resilient IT support contact information.</w:t>
      </w:r>
    </w:p>
    <w:p>
      <w:pPr>
        <w:pStyle w:val="Heading1"/>
      </w:pPr>
      <w:r>
        <w:t>2. What the Policy Does</w:t>
      </w:r>
    </w:p>
    <w:tbl>
      <w:tblPr>
        <w:tblStyle w:val="TableGrid"/>
        <w:tblW w:type="auto" w:w="0"/>
        <w:tblLayout w:type="fixed"/>
        <w:tblLook w:firstColumn="1" w:firstRow="1" w:lastColumn="0" w:lastRow="0" w:noHBand="0" w:noVBand="1" w:val="04A0"/>
      </w:tblPr>
      <w:tblGrid>
        <w:gridCol w:w="2304"/>
        <w:gridCol w:w="2952"/>
        <w:gridCol w:w="4968"/>
      </w:tblGrid>
      <w:tr>
        <w:trPr>
          <w:cantSplit/>
        </w:trPr>
        <w:tc>
          <w:tcPr>
            <w:tcW w:type="dxa" w:w="3408"/>
            <w:shd w:fill="D9EAF7"/>
            <w:tcMar>
              <w:top w:w="90" w:type="dxa"/>
              <w:start w:w="90" w:type="dxa"/>
              <w:bottom w:w="90" w:type="dxa"/>
              <w:end w:w="90" w:type="dxa"/>
            </w:tcMar>
          </w:tcPr>
          <w:p>
            <w:r>
              <w:rPr>
                <w:b/>
                <w:color w:val="17365D"/>
              </w:rPr>
              <w:t>Control</w:t>
            </w:r>
          </w:p>
        </w:tc>
        <w:tc>
          <w:tcPr>
            <w:tcW w:type="dxa" w:w="3408"/>
            <w:shd w:fill="D9EAF7"/>
            <w:tcMar>
              <w:top w:w="90" w:type="dxa"/>
              <w:start w:w="90" w:type="dxa"/>
              <w:bottom w:w="90" w:type="dxa"/>
              <w:end w:w="90" w:type="dxa"/>
            </w:tcMar>
          </w:tcPr>
          <w:p>
            <w:r>
              <w:rPr>
                <w:b/>
                <w:color w:val="17365D"/>
              </w:rPr>
              <w:t>Configuration</w:t>
            </w:r>
          </w:p>
        </w:tc>
        <w:tc>
          <w:tcPr>
            <w:tcW w:type="dxa" w:w="3408"/>
            <w:shd w:fill="D9EAF7"/>
            <w:tcMar>
              <w:top w:w="90" w:type="dxa"/>
              <w:start w:w="90" w:type="dxa"/>
              <w:bottom w:w="90" w:type="dxa"/>
              <w:end w:w="90" w:type="dxa"/>
            </w:tcMar>
          </w:tcPr>
          <w:p>
            <w:r>
              <w:rPr>
                <w:b/>
                <w:color w:val="17365D"/>
              </w:rPr>
              <w:t>Business Effect</w:t>
            </w:r>
          </w:p>
        </w:tc>
      </w:tr>
      <w:tr>
        <w:trPr>
          <w:cantSplit/>
        </w:trPr>
        <w:tc>
          <w:tcPr>
            <w:tcW w:type="dxa" w:w="2304"/>
            <w:tcMar>
              <w:top w:w="90" w:type="dxa"/>
              <w:start w:w="90" w:type="dxa"/>
              <w:bottom w:w="90" w:type="dxa"/>
              <w:end w:w="90" w:type="dxa"/>
            </w:tcMar>
            <w:vAlign w:val="center"/>
          </w:tcPr>
          <w:p>
            <w:r>
              <w:t>iOS/iPadOS</w:t>
            </w:r>
          </w:p>
        </w:tc>
        <w:tc>
          <w:tcPr>
            <w:tcW w:type="dxa" w:w="2952"/>
            <w:tcMar>
              <w:top w:w="90" w:type="dxa"/>
              <w:start w:w="90" w:type="dxa"/>
              <w:bottom w:w="90" w:type="dxa"/>
              <w:end w:w="90" w:type="dxa"/>
            </w:tcMar>
            <w:vAlign w:val="center"/>
          </w:tcPr>
          <w:p>
            <w:r>
              <w:t>Email + Company Portal push</w:t>
            </w:r>
          </w:p>
        </w:tc>
        <w:tc>
          <w:tcPr>
            <w:tcW w:type="dxa" w:w="4968"/>
            <w:tcMar>
              <w:top w:w="90" w:type="dxa"/>
              <w:start w:w="90" w:type="dxa"/>
              <w:bottom w:w="90" w:type="dxa"/>
              <w:end w:w="90" w:type="dxa"/>
            </w:tcMar>
            <w:vAlign w:val="center"/>
          </w:tcPr>
          <w:p>
            <w:r>
              <w:t>Confirms enrollment and gives the user a rapid way to identify an unauthorized enrollment.</w:t>
            </w:r>
          </w:p>
        </w:tc>
      </w:tr>
      <w:tr>
        <w:trPr>
          <w:cantSplit/>
        </w:trPr>
        <w:tc>
          <w:tcPr>
            <w:tcW w:type="dxa" w:w="2304"/>
            <w:tcMar>
              <w:top w:w="90" w:type="dxa"/>
              <w:start w:w="90" w:type="dxa"/>
              <w:bottom w:w="90" w:type="dxa"/>
              <w:end w:w="90" w:type="dxa"/>
            </w:tcMar>
            <w:vAlign w:val="center"/>
          </w:tcPr>
          <w:p>
            <w:r>
              <w:t>Android Enterprise</w:t>
            </w:r>
          </w:p>
        </w:tc>
        <w:tc>
          <w:tcPr>
            <w:tcW w:type="dxa" w:w="2952"/>
            <w:tcMar>
              <w:top w:w="90" w:type="dxa"/>
              <w:start w:w="90" w:type="dxa"/>
              <w:bottom w:w="90" w:type="dxa"/>
              <w:end w:w="90" w:type="dxa"/>
            </w:tcMar>
            <w:vAlign w:val="center"/>
          </w:tcPr>
          <w:p>
            <w:r>
              <w:t>Email + Company Portal push</w:t>
            </w:r>
          </w:p>
        </w:tc>
        <w:tc>
          <w:tcPr>
            <w:tcW w:type="dxa" w:w="4968"/>
            <w:tcMar>
              <w:top w:w="90" w:type="dxa"/>
              <w:start w:w="90" w:type="dxa"/>
              <w:bottom w:w="90" w:type="dxa"/>
              <w:end w:w="90" w:type="dxa"/>
            </w:tcMar>
            <w:vAlign w:val="center"/>
          </w:tcPr>
          <w:p>
            <w:r>
              <w:t>Provides the same enrollment awareness for Android work-profile/device enrollment.</w:t>
            </w:r>
          </w:p>
        </w:tc>
      </w:tr>
      <w:tr>
        <w:trPr>
          <w:cantSplit/>
        </w:trPr>
        <w:tc>
          <w:tcPr>
            <w:tcW w:type="dxa" w:w="2304"/>
            <w:tcMar>
              <w:top w:w="90" w:type="dxa"/>
              <w:start w:w="90" w:type="dxa"/>
              <w:bottom w:w="90" w:type="dxa"/>
              <w:end w:w="90" w:type="dxa"/>
            </w:tcMar>
            <w:vAlign w:val="center"/>
          </w:tcPr>
          <w:p>
            <w:r>
              <w:t>macOS</w:t>
            </w:r>
          </w:p>
        </w:tc>
        <w:tc>
          <w:tcPr>
            <w:tcW w:type="dxa" w:w="2952"/>
            <w:tcMar>
              <w:top w:w="90" w:type="dxa"/>
              <w:start w:w="90" w:type="dxa"/>
              <w:bottom w:w="90" w:type="dxa"/>
              <w:end w:w="90" w:type="dxa"/>
            </w:tcMar>
            <w:vAlign w:val="center"/>
          </w:tcPr>
          <w:p>
            <w:r>
              <w:t>Email + Company Portal push</w:t>
            </w:r>
          </w:p>
        </w:tc>
        <w:tc>
          <w:tcPr>
            <w:tcW w:type="dxa" w:w="4968"/>
            <w:tcMar>
              <w:top w:w="90" w:type="dxa"/>
              <w:start w:w="90" w:type="dxa"/>
              <w:bottom w:w="90" w:type="dxa"/>
              <w:end w:w="90" w:type="dxa"/>
            </w:tcMar>
            <w:vAlign w:val="center"/>
          </w:tcPr>
          <w:p>
            <w:r>
              <w:t>Provides enrollment confirmation on managed Macs.</w:t>
            </w:r>
          </w:p>
        </w:tc>
      </w:tr>
      <w:tr>
        <w:trPr>
          <w:cantSplit/>
        </w:trPr>
        <w:tc>
          <w:tcPr>
            <w:tcW w:type="dxa" w:w="2304"/>
            <w:tcMar>
              <w:top w:w="90" w:type="dxa"/>
              <w:start w:w="90" w:type="dxa"/>
              <w:bottom w:w="90" w:type="dxa"/>
              <w:end w:w="90" w:type="dxa"/>
            </w:tcMar>
            <w:vAlign w:val="center"/>
          </w:tcPr>
          <w:p>
            <w:r>
              <w:t>Windows</w:t>
            </w:r>
          </w:p>
        </w:tc>
        <w:tc>
          <w:tcPr>
            <w:tcW w:type="dxa" w:w="2952"/>
            <w:tcMar>
              <w:top w:w="90" w:type="dxa"/>
              <w:start w:w="90" w:type="dxa"/>
              <w:bottom w:w="90" w:type="dxa"/>
              <w:end w:w="90" w:type="dxa"/>
            </w:tcMar>
            <w:vAlign w:val="center"/>
          </w:tcPr>
          <w:p>
            <w:r>
              <w:t>Email only</w:t>
            </w:r>
          </w:p>
        </w:tc>
        <w:tc>
          <w:tcPr>
            <w:tcW w:type="dxa" w:w="4968"/>
            <w:tcMar>
              <w:top w:w="90" w:type="dxa"/>
              <w:start w:w="90" w:type="dxa"/>
              <w:bottom w:w="90" w:type="dxa"/>
              <w:end w:w="90" w:type="dxa"/>
            </w:tcMar>
            <w:vAlign w:val="center"/>
          </w:tcPr>
          <w:p>
            <w:r>
              <w:t>Provides enrollment confirmation without relying on a Windows Company Portal push notification.</w:t>
            </w:r>
          </w:p>
        </w:tc>
      </w:tr>
      <w:tr>
        <w:trPr>
          <w:cantSplit/>
        </w:trPr>
        <w:tc>
          <w:tcPr>
            <w:tcW w:type="dxa" w:w="2304"/>
            <w:tcMar>
              <w:top w:w="90" w:type="dxa"/>
              <w:start w:w="90" w:type="dxa"/>
              <w:bottom w:w="90" w:type="dxa"/>
              <w:end w:w="90" w:type="dxa"/>
            </w:tcMar>
            <w:vAlign w:val="center"/>
          </w:tcPr>
          <w:p>
            <w:r>
              <w:t>Branding</w:t>
            </w:r>
          </w:p>
        </w:tc>
        <w:tc>
          <w:tcPr>
            <w:tcW w:type="dxa" w:w="2952"/>
            <w:tcMar>
              <w:top w:w="90" w:type="dxa"/>
              <w:start w:w="90" w:type="dxa"/>
              <w:bottom w:w="90" w:type="dxa"/>
              <w:end w:w="90" w:type="dxa"/>
            </w:tcMar>
            <w:vAlign w:val="center"/>
          </w:tcPr>
          <w:p>
            <w:r>
              <w:t>Company logo, device details, company name, contact information and Company Portal link</w:t>
            </w:r>
          </w:p>
        </w:tc>
        <w:tc>
          <w:tcPr>
            <w:tcW w:type="dxa" w:w="4968"/>
            <w:tcMar>
              <w:top w:w="90" w:type="dxa"/>
              <w:start w:w="90" w:type="dxa"/>
              <w:bottom w:w="90" w:type="dxa"/>
              <w:end w:w="90" w:type="dxa"/>
            </w:tcMar>
            <w:vAlign w:val="center"/>
          </w:tcPr>
          <w:p>
            <w:r>
              <w:t>Produces a recognizable, supportable notification rather than an unbranded system message.</w:t>
            </w:r>
          </w:p>
        </w:tc>
      </w:tr>
    </w:tbl>
    <w:p/>
    <w:p>
      <w:pPr>
        <w:pStyle w:val="Heading1"/>
      </w:pPr>
      <w:r>
        <w:t>3. How It Works</w:t>
      </w:r>
    </w:p>
    <w:p>
      <w:r>
        <w:t>The script creates or updates message templates and localized en-US content, then creates or updates one enrollment-notification configuration per platform. It uses exact display-name matching and stops when duplicate notification objects or duplicate message templates are found. The current script then calls the Intune enrollment-configuration assignment endpoint and replaces the assignment with the All Licensed Users target.</w:t>
      </w:r>
    </w:p>
    <w:p>
      <w:pPr>
        <w:pStyle w:val="Heading1"/>
      </w:pPr>
      <w:r>
        <w:t>4. Why This Policy Is Important</w:t>
      </w:r>
    </w:p>
    <w:p>
      <w:r>
        <w:t>Enrollment notifications improve visibility into device registration activity. A legitimate user gets immediate confirmation that a device was enrolled, while an unexpected message can prompt early reporting of a potentially unauthorized or mistaken enrollment. Standardized wording and support contact information also reduce confusion during onboarding.</w:t>
      </w:r>
    </w:p>
    <w:p>
      <w:pPr>
        <w:pStyle w:val="Heading1"/>
      </w:pPr>
      <w:r>
        <w:t>5. User Impact</w:t>
      </w:r>
    </w:p>
    <w:tbl>
      <w:tblPr>
        <w:tblW w:type="auto" w:w="0"/>
        <w:tblLook w:firstColumn="1" w:firstRow="1" w:lastColumn="0" w:lastRow="0" w:noHBand="0" w:noVBand="1" w:val="04A0"/>
      </w:tblPr>
      <w:tblGrid>
        <w:gridCol w:w="10224"/>
      </w:tblGrid>
      <w:tr>
        <w:trPr>
          <w:cantSplit/>
        </w:trPr>
        <w:tc>
          <w:tcPr>
            <w:tcW w:type="dxa" w:w="10224"/>
            <w:shd w:fill="EEF4FA"/>
            <w:tcMar>
              <w:top w:w="120" w:type="dxa"/>
              <w:start w:w="120" w:type="dxa"/>
              <w:bottom w:w="120" w:type="dxa"/>
              <w:end w:w="120" w:type="dxa"/>
            </w:tcMar>
          </w:tcPr>
          <w:p>
            <w:r>
              <w:t>Expected impact: Low. Users receive a concise automated message after enrollment. iOS/iPadOS, Android, and macOS users can receive both email and Company Portal push; Windows users receive email only.</w:t>
            </w:r>
          </w:p>
        </w:tc>
      </w:tr>
    </w:tbl>
    <w:p>
      <w:pPr>
        <w:pStyle w:val="Heading1"/>
      </w:pPr>
      <w:r>
        <w:t>6. Security Posture</w:t>
      </w:r>
    </w:p>
    <w:p>
      <w:r>
        <w:t>Operational security / enrollment awareness. This is primarily a detection, communication, and support control rather than a device-hardening control.</w:t>
      </w:r>
    </w:p>
    <w:p>
      <w:pPr>
        <w:pStyle w:val="Heading1"/>
      </w:pPr>
      <w:r>
        <w:t>7. Deployment and Assignment</w:t>
      </w:r>
    </w:p>
    <w:p>
      <w:r>
        <w:t>The current automation does not comply with the technician-controlled assignment model: it explicitly assigns each notification to All Licensed Users and replaces the assignment on every run. Before production use, the assignment call should be removed so the technician can choose the appropriate population for the client environment. The notification objects and templates can remain idempotent without automatic targeting.</w:t>
      </w:r>
    </w:p>
    <w:p>
      <w:pPr>
        <w:pStyle w:val="Heading1"/>
      </w:pPr>
      <w:r>
        <w:t>8. Approval Recommendation</w:t>
      </w:r>
    </w:p>
    <w:tbl>
      <w:tblPr>
        <w:tblW w:type="auto" w:w="0"/>
        <w:tblLook w:firstColumn="1" w:firstRow="1" w:lastColumn="0" w:lastRow="0" w:noHBand="0" w:noVBand="1" w:val="04A0"/>
      </w:tblPr>
      <w:tblGrid>
        <w:gridCol w:w="10224"/>
      </w:tblGrid>
      <w:tr>
        <w:trPr>
          <w:cantSplit/>
        </w:trPr>
        <w:tc>
          <w:tcPr>
            <w:tcW w:type="dxa" w:w="10224"/>
            <w:shd w:fill="E2F0D9"/>
            <w:tcMar>
              <w:top w:w="120" w:type="dxa"/>
              <w:start w:w="120" w:type="dxa"/>
              <w:bottom w:w="120" w:type="dxa"/>
              <w:end w:w="120" w:type="dxa"/>
            </w:tcMar>
          </w:tcPr>
          <w:p>
            <w:r>
              <w:t>Recommended for approval of the notification design and message content, but not for production execution in its current form. Remove the automatic All Licensed Users assignment first; after that change, deployment can remain technician-controlled.</w:t>
            </w:r>
          </w:p>
        </w:tc>
      </w:tr>
    </w:tbl>
    <w:p>
      <w:pPr>
        <w:pStyle w:val="Heading1"/>
      </w:pPr>
      <w:r>
        <w:t>9. Implementation Note / Exception</w:t>
      </w:r>
    </w:p>
    <w:tbl>
      <w:tblPr>
        <w:tblW w:type="auto" w:w="0"/>
        <w:tblLook w:firstColumn="1" w:firstRow="1" w:lastColumn="0" w:lastRow="0" w:noHBand="0" w:noVBand="1" w:val="04A0"/>
      </w:tblPr>
      <w:tblGrid>
        <w:gridCol w:w="10224"/>
      </w:tblGrid>
      <w:tr>
        <w:trPr>
          <w:cantSplit/>
        </w:trPr>
        <w:tc>
          <w:tcPr>
            <w:tcW w:type="dxa" w:w="10224"/>
            <w:shd w:fill="FCE4D6"/>
            <w:tcMar>
              <w:top w:w="120" w:type="dxa"/>
              <w:start w:w="120" w:type="dxa"/>
              <w:bottom w:w="120" w:type="dxa"/>
              <w:end w:w="120" w:type="dxa"/>
            </w:tcMar>
          </w:tcPr>
          <w:p>
            <w:r>
              <w:t>The script contains a direct assignment function that posts an allLicensedUsersAssignmentTarget to /deviceEnrollmentConfigurations/{id}/assign, and it invokes that function after every create or update. This is a material deployment behavior, not merely a comment or default value.</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Executive Policy Overview | Resilient 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40" w:after="80"/>
    </w:pPr>
    <w:rPr>
      <w:rFonts w:asciiTheme="majorHAnsi" w:eastAsiaTheme="majorEastAsia" w:hAnsiTheme="majorHAnsi" w:cstheme="majorBidi" w:ascii="Aptos" w:hAnsi="Aptos"/>
      <w:b w:val="0"/>
      <w:i/>
      <w:iCs/>
      <w:color w:val="2F559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