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Executive Policy Overview</w:t>
      </w:r>
    </w:p>
    <w:p>
      <w:pPr>
        <w:spacing w:after="140"/>
      </w:pPr>
      <w:r>
        <w:rPr>
          <w:rFonts w:ascii="Aptos Display" w:hAnsi="Aptos Display"/>
          <w:b/>
          <w:color w:val="2F5597"/>
          <w:sz w:val="30"/>
        </w:rPr>
        <w:t>Windows BitLocker Compliance Policy</w:t>
      </w:r>
    </w:p>
    <w:tbl>
      <w:tblPr>
        <w:tblW w:type="auto" w:w="0"/>
        <w:jc w:val="left"/>
        <w:tblLayout w:type="fixed"/>
        <w:tblLook w:firstColumn="1" w:firstRow="1" w:lastColumn="0" w:lastRow="0" w:noHBand="0" w:noVBand="1" w:val="04A0"/>
      </w:tblPr>
      <w:tblGrid>
        <w:gridCol w:w="2232"/>
        <w:gridCol w:w="7848"/>
      </w:tblGrid>
      <w:tr>
        <w:tc>
          <w:tcPr>
            <w:tcW w:type="dxa" w:w="5141"/>
            <w:shd w:fill="EEF5FB"/>
            <w:tcMar>
              <w:top w:w="90" w:type="dxa"/>
              <w:start w:w="90" w:type="dxa"/>
              <w:bottom w:w="90" w:type="dxa"/>
              <w:end w:w="90" w:type="dxa"/>
            </w:tcMar>
            <w:vAlign w:val="center"/>
          </w:tcPr>
          <w:p>
            <w:r>
              <w:rPr>
                <w:b/>
                <w:color w:val="17365D"/>
              </w:rPr>
              <w:t>Platform</w:t>
            </w:r>
          </w:p>
        </w:tc>
        <w:tc>
          <w:tcPr>
            <w:tcW w:type="dxa" w:w="5141"/>
            <w:tcMar>
              <w:top w:w="90" w:type="dxa"/>
              <w:start w:w="90" w:type="dxa"/>
              <w:bottom w:w="90" w:type="dxa"/>
              <w:end w:w="90" w:type="dxa"/>
            </w:tcMar>
            <w:vAlign w:val="center"/>
          </w:tcPr>
          <w:p>
            <w:r>
              <w:t>Windows 10 and later</w:t>
            </w:r>
          </w:p>
        </w:tc>
      </w:tr>
      <w:tr>
        <w:tc>
          <w:tcPr>
            <w:tcW w:type="dxa" w:w="5141"/>
            <w:shd w:fill="EEF5FB"/>
            <w:tcMar>
              <w:top w:w="90" w:type="dxa"/>
              <w:start w:w="90" w:type="dxa"/>
              <w:bottom w:w="90" w:type="dxa"/>
              <w:end w:w="90" w:type="dxa"/>
            </w:tcMar>
            <w:vAlign w:val="center"/>
          </w:tcPr>
          <w:p>
            <w:r>
              <w:rPr>
                <w:b/>
                <w:color w:val="17365D"/>
              </w:rPr>
              <w:t>Cloud</w:t>
            </w:r>
          </w:p>
        </w:tc>
        <w:tc>
          <w:tcPr>
            <w:tcW w:type="dxa" w:w="5141"/>
            <w:tcMar>
              <w:top w:w="90" w:type="dxa"/>
              <w:start w:w="90" w:type="dxa"/>
              <w:bottom w:w="90" w:type="dxa"/>
              <w:end w:w="90" w:type="dxa"/>
            </w:tcMar>
            <w:vAlign w:val="center"/>
          </w:tcPr>
          <w:p>
            <w:r>
              <w:t>Microsoft 365 GCC High</w:t>
            </w:r>
          </w:p>
        </w:tc>
      </w:tr>
      <w:tr>
        <w:tc>
          <w:tcPr>
            <w:tcW w:type="dxa" w:w="5141"/>
            <w:shd w:fill="EEF5FB"/>
            <w:tcMar>
              <w:top w:w="90" w:type="dxa"/>
              <w:start w:w="90" w:type="dxa"/>
              <w:bottom w:w="90" w:type="dxa"/>
              <w:end w:w="90" w:type="dxa"/>
            </w:tcMar>
            <w:vAlign w:val="center"/>
          </w:tcPr>
          <w:p>
            <w:r>
              <w:rPr>
                <w:b/>
                <w:color w:val="17365D"/>
              </w:rPr>
              <w:t>Policy type</w:t>
            </w:r>
          </w:p>
        </w:tc>
        <w:tc>
          <w:tcPr>
            <w:tcW w:type="dxa" w:w="5141"/>
            <w:tcMar>
              <w:top w:w="90" w:type="dxa"/>
              <w:start w:w="90" w:type="dxa"/>
              <w:bottom w:w="90" w:type="dxa"/>
              <w:end w:w="90" w:type="dxa"/>
            </w:tcMar>
            <w:vAlign w:val="center"/>
          </w:tcPr>
          <w:p>
            <w:r>
              <w:t>Device Compliance</w:t>
            </w:r>
          </w:p>
        </w:tc>
      </w:tr>
      <w:tr>
        <w:tc>
          <w:tcPr>
            <w:tcW w:type="dxa" w:w="5141"/>
            <w:shd w:fill="EEF5FB"/>
            <w:tcMar>
              <w:top w:w="90" w:type="dxa"/>
              <w:start w:w="90" w:type="dxa"/>
              <w:bottom w:w="90" w:type="dxa"/>
              <w:end w:w="90" w:type="dxa"/>
            </w:tcMar>
            <w:vAlign w:val="center"/>
          </w:tcPr>
          <w:p>
            <w:r>
              <w:rPr>
                <w:b/>
                <w:color w:val="17365D"/>
              </w:rPr>
              <w:t>Deployment state</w:t>
            </w:r>
          </w:p>
        </w:tc>
        <w:tc>
          <w:tcPr>
            <w:tcW w:type="dxa" w:w="5141"/>
            <w:tcMar>
              <w:top w:w="90" w:type="dxa"/>
              <w:start w:w="90" w:type="dxa"/>
              <w:bottom w:w="90" w:type="dxa"/>
              <w:end w:w="90" w:type="dxa"/>
            </w:tcMar>
            <w:vAlign w:val="center"/>
          </w:tcPr>
          <w:p>
            <w:r>
              <w:t>New policy unassigned; existing assignments preserved on update</w:t>
            </w:r>
          </w:p>
        </w:tc>
      </w:tr>
    </w:tbl>
    <w:p>
      <w:pPr>
        <w:spacing w:after="0"/>
      </w:pPr>
    </w:p>
    <w:tbl>
      <w:tblPr>
        <w:tblW w:type="auto" w:w="0"/>
        <w:jc w:val="center"/>
        <w:tblLayout w:type="fixed"/>
        <w:tblLook w:firstColumn="1" w:firstRow="1" w:lastColumn="0" w:lastRow="0" w:noHBand="0" w:noVBand="1" w:val="04A0"/>
      </w:tblPr>
      <w:tblGrid>
        <w:gridCol w:w="10080"/>
      </w:tblGrid>
      <w:tr>
        <w:tc>
          <w:tcPr>
            <w:tcW w:type="dxa" w:w="10282"/>
            <w:shd w:fill="E2F0D9"/>
            <w:tcMar>
              <w:top w:w="120" w:type="dxa"/>
              <w:start w:w="140" w:type="dxa"/>
              <w:bottom w:w="120" w:type="dxa"/>
              <w:end w:w="140" w:type="dxa"/>
            </w:tcMar>
            <w:vAlign w:val="center"/>
          </w:tcPr>
          <w:p>
            <w:pPr>
              <w:spacing w:after="0"/>
            </w:pPr>
            <w:r>
              <w:rPr>
                <w:b/>
                <w:color w:val="17365D"/>
              </w:rPr>
              <w:t xml:space="preserve">Approval posture  </w:t>
            </w:r>
            <w:r>
              <w:t>Recommended for approval</w:t>
            </w:r>
          </w:p>
        </w:tc>
      </w:tr>
    </w:tbl>
    <w:p>
      <w:pPr>
        <w:spacing w:after="0"/>
      </w:pPr>
    </w:p>
    <w:p>
      <w:pPr>
        <w:pStyle w:val="Heading1"/>
      </w:pPr>
      <w:r>
        <w:t>1. Executive Summary</w:t>
      </w:r>
    </w:p>
    <w:p>
      <w:r>
        <w:t>Despite its name, this policy evaluates two Windows security requirements: BitLocker must be enabled and Secure Boot must be enabled. A device must satisfy both checks to meet the intended policy baseline.</w:t>
      </w:r>
    </w:p>
    <w:p>
      <w:pPr>
        <w:pStyle w:val="Heading1"/>
      </w:pPr>
      <w:r>
        <w:t>2. What the Policy Does</w:t>
      </w:r>
    </w:p>
    <w:tbl>
      <w:tblPr>
        <w:tblW w:type="auto" w:w="0"/>
        <w:jc w:val="center"/>
        <w:tblLayout w:type="fixed"/>
        <w:tblLook w:firstColumn="1" w:firstRow="1" w:lastColumn="0" w:lastRow="0" w:noHBand="0" w:noVBand="1" w:val="04A0"/>
      </w:tblPr>
      <w:tblGrid>
        <w:gridCol w:w="2880"/>
        <w:gridCol w:w="2376"/>
        <w:gridCol w:w="4824"/>
      </w:tblGrid>
      <w:tr>
        <w:tc>
          <w:tcPr>
            <w:tcW w:type="dxa" w:w="3427"/>
            <w:shd w:fill="D9EAF7"/>
            <w:tcMar>
              <w:top w:w="90" w:type="dxa"/>
              <w:start w:w="90" w:type="dxa"/>
              <w:bottom w:w="90" w:type="dxa"/>
              <w:end w:w="90" w:type="dxa"/>
            </w:tcMar>
            <w:vAlign w:val="center"/>
          </w:tcPr>
          <w:p>
            <w:r>
              <w:rPr>
                <w:b/>
                <w:color w:val="17365D"/>
              </w:rPr>
              <w:t>Control</w:t>
            </w:r>
          </w:p>
        </w:tc>
        <w:tc>
          <w:tcPr>
            <w:tcW w:type="dxa" w:w="3427"/>
            <w:shd w:fill="D9EAF7"/>
            <w:tcMar>
              <w:top w:w="90" w:type="dxa"/>
              <w:start w:w="90" w:type="dxa"/>
              <w:bottom w:w="90" w:type="dxa"/>
              <w:end w:w="90" w:type="dxa"/>
            </w:tcMar>
            <w:vAlign w:val="center"/>
          </w:tcPr>
          <w:p>
            <w:r>
              <w:rPr>
                <w:b/>
                <w:color w:val="17365D"/>
              </w:rPr>
              <w:t>Configuration</w:t>
            </w:r>
          </w:p>
        </w:tc>
        <w:tc>
          <w:tcPr>
            <w:tcW w:type="dxa" w:w="3427"/>
            <w:shd w:fill="D9EAF7"/>
            <w:tcMar>
              <w:top w:w="90" w:type="dxa"/>
              <w:start w:w="90" w:type="dxa"/>
              <w:bottom w:w="90" w:type="dxa"/>
              <w:end w:w="90" w:type="dxa"/>
            </w:tcMar>
            <w:vAlign w:val="center"/>
          </w:tcPr>
          <w:p>
            <w:r>
              <w:rPr>
                <w:b/>
                <w:color w:val="17365D"/>
              </w:rPr>
              <w:t>Business Effect</w:t>
            </w:r>
          </w:p>
        </w:tc>
      </w:tr>
      <w:tr>
        <w:tc>
          <w:tcPr>
            <w:tcW w:type="dxa" w:w="2880"/>
            <w:tcMar>
              <w:top w:w="90" w:type="dxa"/>
              <w:start w:w="90" w:type="dxa"/>
              <w:bottom w:w="90" w:type="dxa"/>
              <w:end w:w="90" w:type="dxa"/>
            </w:tcMar>
            <w:vAlign w:val="center"/>
          </w:tcPr>
          <w:p>
            <w:r>
              <w:t>BitLocker</w:t>
            </w:r>
          </w:p>
        </w:tc>
        <w:tc>
          <w:tcPr>
            <w:tcW w:type="dxa" w:w="2376"/>
            <w:tcMar>
              <w:top w:w="90" w:type="dxa"/>
              <w:start w:w="90" w:type="dxa"/>
              <w:bottom w:w="90" w:type="dxa"/>
              <w:end w:w="90" w:type="dxa"/>
            </w:tcMar>
            <w:vAlign w:val="center"/>
          </w:tcPr>
          <w:p>
            <w:r>
              <w:t>Required</w:t>
            </w:r>
          </w:p>
        </w:tc>
        <w:tc>
          <w:tcPr>
            <w:tcW w:type="dxa" w:w="4824"/>
            <w:tcMar>
              <w:top w:w="90" w:type="dxa"/>
              <w:start w:w="90" w:type="dxa"/>
              <w:bottom w:w="90" w:type="dxa"/>
              <w:end w:w="90" w:type="dxa"/>
            </w:tcMar>
            <w:vAlign w:val="center"/>
          </w:tcPr>
          <w:p>
            <w:r>
              <w:t>Requires Windows drive encryption</w:t>
            </w:r>
          </w:p>
        </w:tc>
      </w:tr>
      <w:tr>
        <w:tc>
          <w:tcPr>
            <w:tcW w:type="dxa" w:w="2880"/>
            <w:tcMar>
              <w:top w:w="90" w:type="dxa"/>
              <w:start w:w="90" w:type="dxa"/>
              <w:bottom w:w="90" w:type="dxa"/>
              <w:end w:w="90" w:type="dxa"/>
            </w:tcMar>
            <w:vAlign w:val="center"/>
          </w:tcPr>
          <w:p>
            <w:r>
              <w:t>Secure Boot</w:t>
            </w:r>
          </w:p>
        </w:tc>
        <w:tc>
          <w:tcPr>
            <w:tcW w:type="dxa" w:w="2376"/>
            <w:tcMar>
              <w:top w:w="90" w:type="dxa"/>
              <w:start w:w="90" w:type="dxa"/>
              <w:bottom w:w="90" w:type="dxa"/>
              <w:end w:w="90" w:type="dxa"/>
            </w:tcMar>
            <w:vAlign w:val="center"/>
          </w:tcPr>
          <w:p>
            <w:r>
              <w:t>Required</w:t>
            </w:r>
          </w:p>
        </w:tc>
        <w:tc>
          <w:tcPr>
            <w:tcW w:type="dxa" w:w="4824"/>
            <w:tcMar>
              <w:top w:w="90" w:type="dxa"/>
              <w:start w:w="90" w:type="dxa"/>
              <w:bottom w:w="90" w:type="dxa"/>
              <w:end w:w="90" w:type="dxa"/>
            </w:tcMar>
            <w:vAlign w:val="center"/>
          </w:tcPr>
          <w:p>
            <w:r>
              <w:t>Also requires trusted Secure Boot state</w:t>
            </w:r>
          </w:p>
        </w:tc>
      </w:tr>
    </w:tbl>
    <w:p>
      <w:pPr>
        <w:pStyle w:val="Heading1"/>
      </w:pPr>
      <w:r>
        <w:t>3. How It Works</w:t>
      </w:r>
    </w:p>
    <w:p>
      <w:r>
        <w:t>The Windows compliance payload sets bitLockerEnabled = true and secureBootEnabled = true. The script creates or updates the exact-name compliance policy and does not create assignments.</w:t>
      </w:r>
    </w:p>
    <w:p>
      <w:pPr>
        <w:pStyle w:val="Heading1"/>
      </w:pPr>
      <w:r>
        <w:t>4. Why This Policy Is Important</w:t>
      </w:r>
    </w:p>
    <w:p>
      <w:r>
        <w:t>BitLocker protects data at rest, while Secure Boot helps establish a trusted startup chain. Requiring both creates a stronger device-health baseline than checking drive encryption alone.</w:t>
      </w:r>
    </w:p>
    <w:p>
      <w:pPr>
        <w:pStyle w:val="Heading1"/>
      </w:pPr>
      <w:r>
        <w:t>5. User Impact</w:t>
      </w:r>
    </w:p>
    <w:tbl>
      <w:tblPr>
        <w:tblW w:type="auto" w:w="0"/>
        <w:jc w:val="center"/>
        <w:tblLayout w:type="fixed"/>
        <w:tblLook w:firstColumn="1" w:firstRow="1" w:lastColumn="0" w:lastRow="0" w:noHBand="0" w:noVBand="1" w:val="04A0"/>
      </w:tblPr>
      <w:tblGrid>
        <w:gridCol w:w="10080"/>
      </w:tblGrid>
      <w:tr>
        <w:tc>
          <w:tcPr>
            <w:tcW w:type="dxa" w:w="10282"/>
            <w:shd w:fill="EEF5FB"/>
            <w:tcMar>
              <w:top w:w="120" w:type="dxa"/>
              <w:start w:w="140" w:type="dxa"/>
              <w:bottom w:w="120" w:type="dxa"/>
              <w:end w:w="140" w:type="dxa"/>
            </w:tcMar>
            <w:vAlign w:val="center"/>
          </w:tcPr>
          <w:p>
            <w:pPr>
              <w:spacing w:after="0"/>
            </w:pPr>
            <w:r>
              <w:rPr>
                <w:b/>
                <w:color w:val="17365D"/>
              </w:rPr>
              <w:t xml:space="preserve">Moderate  </w:t>
            </w:r>
            <w:r>
              <w:t>Devices without BitLocker or Secure Boot enabled may be reported noncompliant once assigned. Remediation can require encryption enablement, firmware/UEFI changes, and potentially a restart.</w:t>
            </w:r>
          </w:p>
        </w:tc>
      </w:tr>
    </w:tbl>
    <w:p>
      <w:pPr>
        <w:spacing w:after="0"/>
      </w:pPr>
    </w:p>
    <w:p>
      <w:pPr>
        <w:pStyle w:val="Heading1"/>
      </w:pPr>
      <w:r>
        <w:t>6. Security Posture</w:t>
      </w:r>
    </w:p>
    <w:p>
      <w:r>
        <w:t>Enhanced Windows device-health compliance.</w:t>
      </w:r>
    </w:p>
    <w:p>
      <w:pPr>
        <w:pStyle w:val="Heading1"/>
      </w:pPr>
      <w:r>
        <w:t>7. Deployment and Assignment</w:t>
      </w:r>
    </w:p>
    <w:p>
      <w:r>
        <w:t>The deployment script does not create user, device, or group assignments. A newly created policy remains unassigned. When the script updates an existing policy, it changes the policy object only and therefore preserves existing assignments. Technician-controlled assignment should follow client scope, licensing, platform eligibility, and rollout requirements.</w:t>
      </w:r>
    </w:p>
    <w:p>
      <w:pPr>
        <w:pStyle w:val="Heading1"/>
      </w:pPr>
      <w:r>
        <w:t>8. Approval Recommendation</w:t>
      </w:r>
    </w:p>
    <w:p>
      <w:r>
        <w:t>Recommended for approval as a combined BitLocker + Secure Boot compliance baseline. The policy name should be understood as shorthand because Secure Boot is also required.</w:t>
      </w:r>
    </w:p>
    <w:p>
      <w:pPr>
        <w:pStyle w:val="Heading1"/>
      </w:pPr>
      <w:r>
        <w:t>9. Implementation Note / Exception</w:t>
      </w:r>
    </w:p>
    <w:tbl>
      <w:tblPr>
        <w:tblW w:type="auto" w:w="0"/>
        <w:jc w:val="center"/>
        <w:tblLayout w:type="fixed"/>
        <w:tblLook w:firstColumn="1" w:firstRow="1" w:lastColumn="0" w:lastRow="0" w:noHBand="0" w:noVBand="1" w:val="04A0"/>
      </w:tblPr>
      <w:tblGrid>
        <w:gridCol w:w="10080"/>
      </w:tblGrid>
      <w:tr>
        <w:tc>
          <w:tcPr>
            <w:tcW w:type="dxa" w:w="10282"/>
            <w:shd w:fill="FFF2CC"/>
            <w:tcMar>
              <w:top w:w="120" w:type="dxa"/>
              <w:start w:w="140" w:type="dxa"/>
              <w:bottom w:w="120" w:type="dxa"/>
              <w:end w:w="140" w:type="dxa"/>
            </w:tcMar>
            <w:vAlign w:val="center"/>
          </w:tcPr>
          <w:p>
            <w:pPr>
              <w:spacing w:after="0"/>
            </w:pPr>
            <w:r>
              <w:rPr>
                <w:b/>
                <w:color w:val="17365D"/>
              </w:rPr>
              <w:t xml:space="preserve">Implementation note  </w:t>
            </w:r>
            <w:r>
              <w:t>The policy name mentions only BitLocker, but the actual payload also requires Secure Boot. This overlap should be considered if the separate “Windows Secure Boot Enabled” compliance policy is also assigned to the same devices.</w:t>
            </w:r>
          </w:p>
        </w:tc>
      </w:tr>
    </w:tbl>
    <w:p>
      <w:pPr>
        <w:spacing w:after="0"/>
      </w:pPr>
    </w:p>
    <w:sectPr w:rsidR="00FC693F" w:rsidRPr="0006063C" w:rsidSect="00034616">
      <w:footerReference w:type="default" r:id="rId9"/>
      <w:pgSz w:w="12240" w:h="15840"/>
      <w:pgMar w:top="893" w:right="979" w:bottom="835"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66666"/>
        <w:sz w:val="16"/>
      </w:rPr>
      <w:t>Executive Policy Overview | Resilient 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1F1F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ascii="Aptos Display" w:hAnsi="Aptos Display"/>
      <w:b/>
      <w:bCs/>
      <w:color w:val="17365D"/>
      <w:sz w:val="27"/>
      <w:szCs w:val="28"/>
    </w:rPr>
  </w:style>
  <w:style w:type="paragraph" w:styleId="Heading2">
    <w:name w:val="heading 2"/>
    <w:basedOn w:val="Normal"/>
    <w:next w:val="Normal"/>
    <w:link w:val="Heading2Char"/>
    <w:uiPriority w:val="9"/>
    <w:unhideWhenUsed/>
    <w:qFormat/>
    <w:rsid w:val="00FC693F"/>
    <w:pPr>
      <w:keepNext/>
      <w:keepLines/>
      <w:spacing w:before="120" w:after="40"/>
      <w:outlineLvl w:val="1"/>
    </w:pPr>
    <w:rPr>
      <w:rFonts w:asciiTheme="majorHAnsi" w:eastAsiaTheme="majorEastAsia" w:hAnsiTheme="majorHAnsi" w:cstheme="majorBidi" w:ascii="Aptos Display" w:hAnsi="Aptos Display"/>
      <w:b/>
      <w:bCs/>
      <w:color w:val="2F5597"/>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