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Windows Firewall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Windows 10 and later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Approve with implementation note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is a focused Windows compliance policy that requires an active firewall. It evaluates firewall state only; it does not configure Domain, Private, or Public profiles and does not create firewall rules.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firewall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Windows to report an active firewall</w:t>
            </w:r>
          </w:p>
        </w:tc>
      </w:tr>
    </w:tbl>
    <w:p>
      <w:pPr>
        <w:pStyle w:val="Heading1"/>
      </w:pPr>
      <w:r>
        <w:t>3. How It Works</w:t>
      </w:r>
    </w:p>
    <w:p>
      <w:r>
        <w:t>The Windows compliance payload sets activeFirewallRequired = true. The script uses the Microsoft Graph compliance-policy endpoint, creates or updates the exact-name policy, and leaves assignment to the technician.</w:t>
      </w:r>
    </w:p>
    <w:p>
      <w:pPr>
        <w:pStyle w:val="Heading1"/>
      </w:pPr>
      <w:r>
        <w:t>4. Why This Policy Is Important</w:t>
      </w:r>
    </w:p>
    <w:p>
      <w:r>
        <w:t>An active host firewall is a foundational endpoint-protection control. Separating compliance evaluation from firewall configuration allows the organization to measure the state while the Endpoint security Firewall policy remains responsible for enforcing profile behavior and rules.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Low  </w:t>
            </w:r>
            <w:r>
              <w:t>Devices with an active firewall should see no user-facing change. Devices where the firewall is disabled may be reported noncompliant after assignment.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Baseline Windows host-firewall compliance.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Windows firewall-state compliance check, paired with a separate Endpoint security Firewall configuration policy.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comments say it configures a default immediate action to mark devices noncompliant, but the policy body contains only activeFirewallRequired = true and does not create a scheduledActionsForRule object. Do not infer a specific grace period or enforcement timing from this script.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