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Password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establishes a Windows password compliance baseline requiring a device password, blocking simple passwords, requiring at least 14 characters, requiring alphanumeric composition, requiring authentication when returning from idle, and setting a 30-minute inactivity threshold. Password expiration and password history are intentionally not configured.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device authentication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passwords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Rejects simple credentials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a strong minimum password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 type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Alphanumeric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letters and numbers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Unlock from idle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authentication after idle lock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Inactivity lock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30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Sets the inactivity threshold used by the compliance policy</w:t>
            </w:r>
          </w:p>
        </w:tc>
      </w:tr>
    </w:tbl>
    <w:p>
      <w:pPr>
        <w:pStyle w:val="Heading1"/>
      </w:pPr>
      <w:r>
        <w:t>3. How It Works</w:t>
      </w:r>
    </w:p>
    <w:p>
      <w:r>
        <w:t>The Windows compliance payload sets passwordRequired, passwordBlockSimple, passwordRequiredToUnlockFromIdle, passwordMinimumLength = 14, passwordRequiredType = alphanumeric, and passwordMinutesOfInactivityBeforeLock = 30. The script creates or updates the policy and leaves assignment to the technician.</w:t>
      </w:r>
    </w:p>
    <w:p>
      <w:pPr>
        <w:pStyle w:val="Heading1"/>
      </w:pPr>
      <w:r>
        <w:t>4. Why This Policy Is Important</w:t>
      </w:r>
    </w:p>
    <w:p>
      <w:r>
        <w:t>The policy creates a measurable local-authentication standard without introducing recurring password-expiration or history requirements. It is intended to identify devices that do not meet the organization’s minimum password and idle-lock posture.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with weaker local password settings may need to strengthen their credentials. Devices that do not meet the 14-character, alphanumeric, simple-password, or inactivity requirements may be reported noncompliant.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Strong Windows authentication compliance baseline.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Windows password compliance policy, subject to confirmation that a 30-minute inactivity threshold matches the client’s risk posture.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actual policy body does not create a scheduledActionsForRule object. No specific noncompliance grace period should be represented as configured by this script.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