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Windows Secure Boot Enabled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Windows 10 and later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Approve with implementation note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evaluates whether a Windows device is operating with Secure Boot enabled. It is a compliance check, not a firmware configuration policy: the device must already have Secure Boot enabled and report an acceptable state.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Secure Boot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 trusted Secure Boot state reported through device health attestation</w:t>
            </w:r>
          </w:p>
        </w:tc>
      </w:tr>
    </w:tbl>
    <w:p>
      <w:pPr>
        <w:pStyle w:val="Heading1"/>
      </w:pPr>
      <w:r>
        <w:t>3. How It Works</w:t>
      </w:r>
    </w:p>
    <w:p>
      <w:r>
        <w:t>The policy payload sets secureBootEnabled = true in a Windows compliance policy. The script explicitly describes Windows Device Health Attestation as the evaluation source. It creates or updates the policy without modifying assignments.</w:t>
      </w:r>
    </w:p>
    <w:p>
      <w:pPr>
        <w:pStyle w:val="Heading1"/>
      </w:pPr>
      <w:r>
        <w:t>4. Why This Policy Is Important</w:t>
      </w:r>
    </w:p>
    <w:p>
      <w:r>
        <w:t>Secure Boot helps establish trust in the early boot process. Treating its state as a compliance condition gives the organization a measurable signal that can be used by downstream access decisions.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Low to Moderate  </w:t>
            </w:r>
            <w:r>
              <w:t>Compliant devices should see no user change. Devices without Secure Boot may require UEFI/firmware remediation and restart before they can satisfy the policy.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Windows boot-integrity compliance control.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a focused Secure Boot compliance policy where the organization wants this signal evaluated independently from the BitLocker compliance policy.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comments say it configures a default immediate action to mark devices noncompliant, but the actual payload shown in the script contains only the compliance policy fields and does not create a scheduledActionsForRule object. No specific grace period or action timing should be assumed from this script alone.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