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Policy Overview</w:t>
      </w:r>
    </w:p>
    <w:p>
      <w:pPr>
        <w:spacing w:after="140"/>
      </w:pPr>
      <w:r>
        <w:rPr>
          <w:rFonts w:ascii="Aptos Display" w:hAnsi="Aptos Display"/>
          <w:b/>
          <w:color w:val="2F5597"/>
          <w:sz w:val="30"/>
        </w:rPr>
        <w:t>Windows Secure Boot Enabled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Platform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Windows 10 and later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Cloud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365 GCC High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Policy type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Device Compliance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Deployment 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New policy unassigned; existing assignments preserved on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Approval posture  </w:t>
            </w:r>
            <w:r>
              <w:t>Approve with implementation note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This policy evaluates whether a Windows device is operating with Secure Boot enabled. It is a compliance check, not a firmware configuration policy: the device must already have Secure Boot enabled and report an acceptable state.</w:t>
      </w:r>
    </w:p>
    <w:p>
      <w:pPr>
        <w:pStyle w:val="Heading1"/>
      </w:pPr>
      <w:r>
        <w:t>2. 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824"/>
      </w:tblGrid>
      <w:tr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Control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Configuration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Business Effect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Secure Boot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a trusted Secure Boot state reported through device health attestation</w:t>
            </w:r>
          </w:p>
        </w:tc>
      </w:tr>
    </w:tbl>
    <w:p>
      <w:pPr>
        <w:pStyle w:val="Heading1"/>
      </w:pPr>
      <w:r>
        <w:t>3. How It Works</w:t>
      </w:r>
    </w:p>
    <w:p>
      <w:r>
        <w:t>The policy payload sets secureBootEnabled = true in a Windows compliance policy. The script explicitly describes Windows Device Health Attestation as the evaluation source. It creates or updates the policy without modifying assignments.</w:t>
      </w:r>
    </w:p>
    <w:p>
      <w:pPr>
        <w:pStyle w:val="Heading1"/>
      </w:pPr>
      <w:r>
        <w:t>4. Why This Policy Is Important</w:t>
      </w:r>
    </w:p>
    <w:p>
      <w:r>
        <w:t>Secure Boot helps establish trust in the early boot process. Treating its state as a compliance condition gives the organization a measurable signal that can be used by downstream access decisions.</w:t>
      </w:r>
    </w:p>
    <w:p>
      <w:pPr>
        <w:pStyle w:val="Heading1"/>
      </w:pPr>
      <w:r>
        <w:t>5. User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Low to Moderate  </w:t>
            </w:r>
            <w:r>
              <w:t>Compliant devices should see no user change. Devices without Secure Boot may require UEFI/firmware remediation and restart before they can satisfy the policy.</w:t>
            </w:r>
          </w:p>
        </w:tc>
      </w:tr>
    </w:tbl>
    <w:p>
      <w:pPr>
        <w:spacing w:after="0"/>
      </w:pPr>
    </w:p>
    <w:p>
      <w:pPr>
        <w:pStyle w:val="Heading1"/>
      </w:pPr>
      <w:r>
        <w:t>6. Security Posture</w:t>
      </w:r>
    </w:p>
    <w:p>
      <w:r>
        <w:t>Windows boot-integrity compliance control.</w:t>
      </w:r>
    </w:p>
    <w:p>
      <w:pPr>
        <w:pStyle w:val="Heading1"/>
      </w:pPr>
      <w:r>
        <w:t>7. Deployment and Assignment</w:t>
      </w:r>
    </w:p>
    <w:p>
      <w:r>
        <w:t>The deployment script does not create user, device, or group assignments. A newly created policy remains unassigned. When the script updates an existing policy, it changes the policy object only and therefore preserves existing assignments. Technician-controlled assignment should follow client scope, licensing, platform eligibility, and rollout requirements.</w:t>
      </w:r>
    </w:p>
    <w:p>
      <w:pPr>
        <w:pStyle w:val="Heading1"/>
      </w:pPr>
      <w:r>
        <w:t>8. Approval Recommendation</w:t>
      </w:r>
    </w:p>
    <w:p>
      <w:r>
        <w:t>Recommended for approval as a focused Secure Boot compliance policy where the organization wants this signal evaluated independently from the BitLocker compliance policy.</w:t>
      </w:r>
    </w:p>
    <w:p>
      <w:pPr>
        <w:pStyle w:val="Heading1"/>
      </w:pPr>
      <w:r>
        <w:t>9. Implementation Note / 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note  </w:t>
            </w:r>
            <w:r>
              <w:t>The script comments say it configures a default immediate action to mark devices noncompliant, but the actual payload shown in the script contains only the compliance policy fields and does not create a scheduledActionsForRule object. No specific grace period or action timing should be assumed from this script alone.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