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AD, No Rotation</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Commercial</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on-premises Active Directory Domain Services with client-driven recovery-password rotation explicitly disabled.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On-premises AD DS; password only</w:t>
            </w:r>
          </w:p>
        </w:tc>
        <w:tc>
          <w:tcPr>
            <w:tcW w:type="dxa" w:w="4968"/>
            <w:tcMar>
              <w:top w:w="120" w:type="dxa"/>
              <w:start w:w="120" w:type="dxa"/>
              <w:bottom w:w="120" w:type="dxa"/>
              <w:end w:w="120" w:type="dxa"/>
            </w:tcMar>
            <w:vAlign w:val="center"/>
          </w:tcPr>
          <w:p>
            <w:r>
              <w:t>Requires recovery-password escrow to a writable domain controller before encryption proceeds.</w:t>
            </w:r>
          </w:p>
        </w:tc>
      </w:tr>
      <w:tr>
        <w:tc>
          <w:tcPr>
            <w:tcW w:type="dxa" w:w="2880"/>
            <w:tcMar>
              <w:top w:w="120" w:type="dxa"/>
              <w:start w:w="120" w:type="dxa"/>
              <w:bottom w:w="120" w:type="dxa"/>
              <w:end w:w="120" w:type="dxa"/>
            </w:tcMar>
            <w:vAlign w:val="center"/>
          </w:tcPr>
          <w:p>
            <w:r>
              <w:t>Recovery-password rotation</w:t>
            </w:r>
          </w:p>
        </w:tc>
        <w:tc>
          <w:tcPr>
            <w:tcW w:type="dxa" w:w="2376"/>
            <w:tcMar>
              <w:top w:w="120" w:type="dxa"/>
              <w:start w:w="120" w:type="dxa"/>
              <w:bottom w:w="120" w:type="dxa"/>
              <w:end w:w="120" w:type="dxa"/>
            </w:tcMar>
            <w:vAlign w:val="center"/>
          </w:tcPr>
          <w:p>
            <w:r>
              <w:t>Explicitly disabled</w:t>
            </w:r>
          </w:p>
        </w:tc>
        <w:tc>
          <w:tcPr>
            <w:tcW w:type="dxa" w:w="4968"/>
            <w:tcMar>
              <w:top w:w="120" w:type="dxa"/>
              <w:start w:w="120" w:type="dxa"/>
              <w:bottom w:w="120" w:type="dxa"/>
              <w:end w:w="120" w:type="dxa"/>
            </w:tcMar>
            <w:vAlign w:val="center"/>
          </w:tcPr>
          <w:p>
            <w:r>
              <w:t>Maintains the escrowed recovery password until another process changes it.</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 The AD DS recovery profile requires successful recovery-password backup to a writable domain controller before encryption is allowed to complete.</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ListBullet"/>
        <w:spacing w:after="40"/>
      </w:pPr>
      <w:r>
        <w:t>Confirm devices can reach a writable on-premises domain controller when AD DS escrow is required.</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main Endpoint Protection profile intentionally omits its own recoveryOptions block because recovery is defined through the AD DS BitLocker CSP companion profile.</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