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Windows Credential Guard Configuration Policy</w:t>
      </w:r>
    </w:p>
    <w:tbl>
      <w:tblPr>
        <w:tblW w:type="auto" w:w="0"/>
        <w:tblLayout w:type="fixed"/>
        <w:tblLook w:firstColumn="1" w:firstRow="1" w:lastColumn="0" w:lastRow="0" w:noHBand="0" w:noVBand="1" w:val="04A0"/>
      </w:tblPr>
      <w:tblGrid>
        <w:gridCol w:w="2088"/>
        <w:gridCol w:w="8568"/>
      </w:tblGrid>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Platform</w:t>
            </w:r>
          </w:p>
        </w:tc>
        <w:tc>
          <w:tcPr>
            <w:tcW w:type="dxa" w:w="5184"/>
            <w:vAlign w:val="center"/>
            <w:tcMar>
              <w:top w:w="90" w:type="dxa"/>
              <w:start w:w="110" w:type="dxa"/>
              <w:bottom w:w="90" w:type="dxa"/>
              <w:end w:w="110" w:type="dxa"/>
            </w:tcMar>
          </w:tcPr>
          <w:p>
            <w:pPr>
              <w:jc w:val="left"/>
            </w:pPr>
            <w:r/>
            <w:r>
              <w:rPr>
                <w:rFonts w:ascii="Aptos" w:hAnsi="Aptos"/>
                <w:b w:val="0"/>
                <w:sz w:val="19"/>
              </w:rPr>
              <w:t>Windows 10/11</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Cloud</w:t>
            </w:r>
          </w:p>
        </w:tc>
        <w:tc>
          <w:tcPr>
            <w:tcW w:type="dxa" w:w="5184"/>
            <w:vAlign w:val="center"/>
            <w:tcMar>
              <w:top w:w="90" w:type="dxa"/>
              <w:start w:w="110" w:type="dxa"/>
              <w:bottom w:w="90" w:type="dxa"/>
              <w:end w:w="110" w:type="dxa"/>
            </w:tcMar>
          </w:tcPr>
          <w:p>
            <w:pPr>
              <w:jc w:val="left"/>
            </w:pPr>
            <w:r/>
            <w:r>
              <w:rPr>
                <w:rFonts w:ascii="Aptos" w:hAnsi="Aptos"/>
                <w:b w:val="0"/>
                <w:sz w:val="19"/>
              </w:rPr>
              <w:t>Microsoft 365 GCC High</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Policy type</w:t>
            </w:r>
          </w:p>
        </w:tc>
        <w:tc>
          <w:tcPr>
            <w:tcW w:type="dxa" w:w="5184"/>
            <w:vAlign w:val="center"/>
            <w:tcMar>
              <w:top w:w="90" w:type="dxa"/>
              <w:start w:w="110" w:type="dxa"/>
              <w:bottom w:w="90" w:type="dxa"/>
              <w:end w:w="110" w:type="dxa"/>
            </w:tcMar>
          </w:tcPr>
          <w:p>
            <w:pPr>
              <w:jc w:val="left"/>
            </w:pPr>
            <w:r/>
            <w:r>
              <w:rPr>
                <w:rFonts w:ascii="Aptos" w:hAnsi="Aptos"/>
                <w:b w:val="0"/>
                <w:sz w:val="19"/>
              </w:rPr>
              <w:t>Device Configuration</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Deployment state</w:t>
            </w:r>
          </w:p>
        </w:tc>
        <w:tc>
          <w:tcPr>
            <w:tcW w:type="dxa" w:w="5184"/>
            <w:vAlign w:val="center"/>
            <w:tcMar>
              <w:top w:w="90" w:type="dxa"/>
              <w:start w:w="110" w:type="dxa"/>
              <w:bottom w:w="90" w:type="dxa"/>
              <w:end w:w="110" w:type="dxa"/>
            </w:tcMar>
          </w:tcPr>
          <w:p>
            <w:pPr>
              <w:jc w:val="left"/>
            </w:pPr>
            <w:r/>
            <w:r>
              <w:rPr>
                <w:rFonts w:ascii="Aptos" w:hAnsi="Aptos"/>
                <w:b w:val="0"/>
                <w:sz w:val="19"/>
              </w:rPr>
              <w:t>New policy is created unassigned; existing assignments are preserved on update. Technician determines deployment scope.</w:t>
            </w:r>
          </w:p>
        </w:tc>
      </w:tr>
    </w:tbl>
    <w:p>
      <w:pPr>
        <w:spacing w:after="0"/>
      </w:pPr>
    </w:p>
    <w:p>
      <w:pPr>
        <w:pStyle w:val="Heading1"/>
        <w:spacing w:before="160" w:after="60"/>
      </w:pPr>
      <w:r>
        <w:t>Executive Summary</w:t>
      </w:r>
    </w:p>
    <w:p>
      <w:r>
        <w:t>This policy explicitly enables Windows Credential Guard without UEFI lock. Credential Guard uses virtualization-based security to isolate derived domain credentials such as NTLM password hashes and Kerberos ticket-granting tickets from the normal operating system. The “without UEFI lock” design preserves the ability for administrators to reverse or change the setting remotely through Intune when compatibility or recovery requires it.</w:t>
      </w:r>
    </w:p>
    <w:p>
      <w:pPr>
        <w:pStyle w:val="Heading1"/>
        <w:spacing w:before="160" w:after="60"/>
      </w:pPr>
      <w:r>
        <w:t>What the Policy Does</w:t>
      </w:r>
    </w:p>
    <w:tbl>
      <w:tblPr>
        <w:tblW w:type="auto" w:w="0"/>
        <w:tblLayout w:type="fixed"/>
        <w:tblLook w:firstColumn="1" w:firstRow="1" w:lastColumn="0" w:lastRow="0" w:noHBand="0" w:noVBand="1" w:val="04A0"/>
      </w:tblPr>
      <w:tblGrid>
        <w:gridCol w:w="2376"/>
        <w:gridCol w:w="2376"/>
        <w:gridCol w:w="5904"/>
      </w:tblGrid>
      <w:tr>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Control</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Configuration</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Business effect</w:t>
            </w:r>
          </w:p>
        </w:tc>
      </w:tr>
      <w:tr>
        <w:tc>
          <w:tcPr>
            <w:tcW w:type="dxa" w:w="2376"/>
            <w:vAlign w:val="center"/>
            <w:tcMar>
              <w:top w:w="90" w:type="dxa"/>
              <w:start w:w="110" w:type="dxa"/>
              <w:bottom w:w="90" w:type="dxa"/>
              <w:end w:w="110" w:type="dxa"/>
            </w:tcMar>
          </w:tcPr>
          <w:p>
            <w:pPr>
              <w:jc w:val="left"/>
            </w:pPr>
            <w:r/>
            <w:r>
              <w:rPr>
                <w:rFonts w:ascii="Aptos" w:hAnsi="Aptos"/>
                <w:b w:val="0"/>
                <w:sz w:val="18"/>
              </w:rPr>
              <w:t>Credential Guard</w:t>
            </w:r>
          </w:p>
        </w:tc>
        <w:tc>
          <w:tcPr>
            <w:tcW w:type="dxa" w:w="2376"/>
            <w:vAlign w:val="center"/>
            <w:tcMar>
              <w:top w:w="90" w:type="dxa"/>
              <w:start w:w="110" w:type="dxa"/>
              <w:bottom w:w="90" w:type="dxa"/>
              <w:end w:w="110" w:type="dxa"/>
            </w:tcMar>
          </w:tcPr>
          <w:p>
            <w:pPr>
              <w:jc w:val="left"/>
            </w:pPr>
            <w:r/>
            <w:r>
              <w:rPr>
                <w:rFonts w:ascii="Aptos" w:hAnsi="Aptos"/>
                <w:b w:val="0"/>
                <w:sz w:val="18"/>
              </w:rPr>
              <w:t>Enabled without UEFI lock</w:t>
            </w:r>
          </w:p>
        </w:tc>
        <w:tc>
          <w:tcPr>
            <w:tcW w:type="dxa" w:w="5904"/>
            <w:vAlign w:val="center"/>
            <w:tcMar>
              <w:top w:w="90" w:type="dxa"/>
              <w:start w:w="110" w:type="dxa"/>
              <w:bottom w:w="90" w:type="dxa"/>
              <w:end w:w="110" w:type="dxa"/>
            </w:tcMar>
          </w:tcPr>
          <w:p>
            <w:pPr>
              <w:jc w:val="left"/>
            </w:pPr>
            <w:r/>
            <w:r>
              <w:rPr>
                <w:rFonts w:ascii="Aptos" w:hAnsi="Aptos"/>
                <w:b w:val="0"/>
                <w:sz w:val="18"/>
              </w:rPr>
              <w:t>Protects derived domain credentials using virtualization-based isolation.</w:t>
            </w:r>
          </w:p>
        </w:tc>
      </w:tr>
      <w:tr>
        <w:tc>
          <w:tcPr>
            <w:tcW w:type="dxa" w:w="2376"/>
            <w:vAlign w:val="center"/>
            <w:tcMar>
              <w:top w:w="90" w:type="dxa"/>
              <w:start w:w="110" w:type="dxa"/>
              <w:bottom w:w="90" w:type="dxa"/>
              <w:end w:w="110" w:type="dxa"/>
            </w:tcMar>
          </w:tcPr>
          <w:p>
            <w:pPr>
              <w:jc w:val="left"/>
            </w:pPr>
            <w:r/>
            <w:r>
              <w:rPr>
                <w:rFonts w:ascii="Aptos" w:hAnsi="Aptos"/>
                <w:b w:val="0"/>
                <w:sz w:val="18"/>
              </w:rPr>
              <w:t>UEFI persistence</w:t>
            </w:r>
          </w:p>
        </w:tc>
        <w:tc>
          <w:tcPr>
            <w:tcW w:type="dxa" w:w="2376"/>
            <w:vAlign w:val="center"/>
            <w:tcMar>
              <w:top w:w="90" w:type="dxa"/>
              <w:start w:w="110" w:type="dxa"/>
              <w:bottom w:w="90" w:type="dxa"/>
              <w:end w:w="110" w:type="dxa"/>
            </w:tcMar>
          </w:tcPr>
          <w:p>
            <w:pPr>
              <w:jc w:val="left"/>
            </w:pPr>
            <w:r/>
            <w:r>
              <w:rPr>
                <w:rFonts w:ascii="Aptos" w:hAnsi="Aptos"/>
                <w:b w:val="0"/>
                <w:sz w:val="18"/>
              </w:rPr>
              <w:t>Not locked</w:t>
            </w:r>
          </w:p>
        </w:tc>
        <w:tc>
          <w:tcPr>
            <w:tcW w:type="dxa" w:w="5904"/>
            <w:vAlign w:val="center"/>
            <w:tcMar>
              <w:top w:w="90" w:type="dxa"/>
              <w:start w:w="110" w:type="dxa"/>
              <w:bottom w:w="90" w:type="dxa"/>
              <w:end w:w="110" w:type="dxa"/>
            </w:tcMar>
          </w:tcPr>
          <w:p>
            <w:pPr>
              <w:jc w:val="left"/>
            </w:pPr>
            <w:r/>
            <w:r>
              <w:rPr>
                <w:rFonts w:ascii="Aptos" w:hAnsi="Aptos"/>
                <w:b w:val="0"/>
                <w:sz w:val="18"/>
              </w:rPr>
              <w:t>Allows remote rollback or change through Intune rather than requiring firmware-level intervention.</w:t>
            </w:r>
          </w:p>
        </w:tc>
      </w:tr>
      <w:tr>
        <w:tc>
          <w:tcPr>
            <w:tcW w:type="dxa" w:w="2376"/>
            <w:vAlign w:val="center"/>
            <w:tcMar>
              <w:top w:w="90" w:type="dxa"/>
              <w:start w:w="110" w:type="dxa"/>
              <w:bottom w:w="90" w:type="dxa"/>
              <w:end w:w="110" w:type="dxa"/>
            </w:tcMar>
          </w:tcPr>
          <w:p>
            <w:pPr>
              <w:jc w:val="left"/>
            </w:pPr>
            <w:r/>
            <w:r>
              <w:rPr>
                <w:rFonts w:ascii="Aptos" w:hAnsi="Aptos"/>
                <w:b w:val="0"/>
                <w:sz w:val="18"/>
              </w:rPr>
              <w:t>Configuration method</w:t>
            </w:r>
          </w:p>
        </w:tc>
        <w:tc>
          <w:tcPr>
            <w:tcW w:type="dxa" w:w="2376"/>
            <w:vAlign w:val="center"/>
            <w:tcMar>
              <w:top w:w="90" w:type="dxa"/>
              <w:start w:w="110" w:type="dxa"/>
              <w:bottom w:w="90" w:type="dxa"/>
              <w:end w:w="110" w:type="dxa"/>
            </w:tcMar>
          </w:tcPr>
          <w:p>
            <w:pPr>
              <w:jc w:val="left"/>
            </w:pPr>
            <w:r/>
            <w:r>
              <w:rPr>
                <w:rFonts w:ascii="Aptos" w:hAnsi="Aptos"/>
                <w:b w:val="0"/>
                <w:sz w:val="18"/>
              </w:rPr>
              <w:t>DeviceGuard CSP / LsaCfgFlags = 2</w:t>
            </w:r>
          </w:p>
        </w:tc>
        <w:tc>
          <w:tcPr>
            <w:tcW w:type="dxa" w:w="5904"/>
            <w:vAlign w:val="center"/>
            <w:tcMar>
              <w:top w:w="90" w:type="dxa"/>
              <w:start w:w="110" w:type="dxa"/>
              <w:bottom w:w="90" w:type="dxa"/>
              <w:end w:w="110" w:type="dxa"/>
            </w:tcMar>
          </w:tcPr>
          <w:p>
            <w:pPr>
              <w:jc w:val="left"/>
            </w:pPr>
            <w:r/>
            <w:r>
              <w:rPr>
                <w:rFonts w:ascii="Aptos" w:hAnsi="Aptos"/>
                <w:b w:val="0"/>
                <w:sz w:val="18"/>
              </w:rPr>
              <w:t>Applies an explicit Windows security configuration through a custom OMA-URI policy.</w:t>
            </w:r>
          </w:p>
        </w:tc>
      </w:tr>
      <w:tr>
        <w:tc>
          <w:tcPr>
            <w:tcW w:type="dxa" w:w="2376"/>
            <w:vAlign w:val="center"/>
            <w:tcMar>
              <w:top w:w="90" w:type="dxa"/>
              <w:start w:w="110" w:type="dxa"/>
              <w:bottom w:w="90" w:type="dxa"/>
              <w:end w:w="110" w:type="dxa"/>
            </w:tcMar>
          </w:tcPr>
          <w:p>
            <w:pPr>
              <w:jc w:val="left"/>
            </w:pPr>
            <w:r/>
            <w:r>
              <w:rPr>
                <w:rFonts w:ascii="Aptos" w:hAnsi="Aptos"/>
                <w:b w:val="0"/>
                <w:sz w:val="18"/>
              </w:rPr>
              <w:t>Restart</w:t>
            </w:r>
          </w:p>
        </w:tc>
        <w:tc>
          <w:tcPr>
            <w:tcW w:type="dxa" w:w="2376"/>
            <w:vAlign w:val="center"/>
            <w:tcMar>
              <w:top w:w="90" w:type="dxa"/>
              <w:start w:w="110" w:type="dxa"/>
              <w:bottom w:w="90" w:type="dxa"/>
              <w:end w:w="110" w:type="dxa"/>
            </w:tcMar>
          </w:tcPr>
          <w:p>
            <w:pPr>
              <w:jc w:val="left"/>
            </w:pPr>
            <w:r/>
            <w:r>
              <w:rPr>
                <w:rFonts w:ascii="Aptos" w:hAnsi="Aptos"/>
                <w:b w:val="0"/>
                <w:sz w:val="18"/>
              </w:rPr>
              <w:t>Required after application</w:t>
            </w:r>
          </w:p>
        </w:tc>
        <w:tc>
          <w:tcPr>
            <w:tcW w:type="dxa" w:w="5904"/>
            <w:vAlign w:val="center"/>
            <w:tcMar>
              <w:top w:w="90" w:type="dxa"/>
              <w:start w:w="110" w:type="dxa"/>
              <w:bottom w:w="90" w:type="dxa"/>
              <w:end w:w="110" w:type="dxa"/>
            </w:tcMar>
          </w:tcPr>
          <w:p>
            <w:pPr>
              <w:jc w:val="left"/>
            </w:pPr>
            <w:r/>
            <w:r>
              <w:rPr>
                <w:rFonts w:ascii="Aptos" w:hAnsi="Aptos"/>
                <w:b w:val="0"/>
                <w:sz w:val="18"/>
              </w:rPr>
              <w:t>Credential Guard becomes effective after the device restarts.</w:t>
            </w:r>
          </w:p>
        </w:tc>
      </w:tr>
    </w:tbl>
    <w:p>
      <w:pPr>
        <w:pStyle w:val="Heading1"/>
        <w:spacing w:before="160" w:after="60"/>
      </w:pPr>
      <w:r>
        <w:t>How It Works</w:t>
      </w:r>
    </w:p>
    <w:p>
      <w:r>
        <w:t>The script creates a Windows custom configuration policy containing the DeviceGuard CSP OMA-URI ./Device/Vendor/MSFT/Policy/Config/DeviceGuard/LsaCfgFlags with integer value 2. Microsoft defines value 2 as Credential Guard enabled without UEFI lock. The script uses exact-name matching, stops on duplicate names, and creates or updates the policy idempotently.</w:t>
      </w:r>
    </w:p>
    <w:p>
      <w:pPr>
        <w:pStyle w:val="Heading1"/>
        <w:spacing w:before="160" w:after="60"/>
      </w:pPr>
      <w:r>
        <w:t>Why This Policy Is Important</w:t>
      </w:r>
    </w:p>
    <w:p>
      <w:r>
        <w:t>Credential theft is a major pathway for lateral movement. By isolating reusable domain credential material in a VBS-protected environment, Credential Guard makes common pass-the-hash and pass-the-ticket techniques materially harder, even when malware obtains high privileges in the normal operating system.</w:t>
      </w:r>
    </w:p>
    <w:p>
      <w:pPr>
        <w:pStyle w:val="Heading1"/>
        <w:spacing w:before="160" w:after="60"/>
      </w:pPr>
      <w:r>
        <w:t>User Impact</w:t>
      </w:r>
    </w:p>
    <w:p>
      <w:r>
        <w:t>Expected impact: Low. Normal sign-in and day-to-day use should be unchanged, but a restart is required. Some legacy authentication scenarios can be incompatible with Credential Guard, so pilot testing is appropriate before broad deployment.</w:t>
      </w:r>
    </w:p>
    <w:p>
      <w:pPr>
        <w:pStyle w:val="Heading1"/>
        <w:spacing w:before="160" w:after="60"/>
      </w:pPr>
      <w:r>
        <w:t>Security Posture</w:t>
      </w:r>
    </w:p>
    <w:p>
      <w:r>
        <w:t>Enhanced credential-theft resistance. This is a strong workstation hardening control that improves protection of domain credentials while retaining remote reversibility.</w:t>
      </w:r>
    </w:p>
    <w:p>
      <w:pPr>
        <w:pStyle w:val="Heading1"/>
        <w:spacing w:before="160" w:after="60"/>
      </w:pPr>
      <w:r>
        <w:t>Deployment and Assignment</w:t>
      </w:r>
    </w:p>
    <w:p>
      <w:r>
        <w:t>The script does not assign the policy automatically. New policies remain unassigned and existing assignments are preserved during update. Technicians should validate supported Windows edition, hardware/VBS readiness, application compatibility, and appropriate device scope before assignment.</w:t>
      </w:r>
    </w:p>
    <w:p>
      <w:pPr>
        <w:pStyle w:val="Heading1"/>
        <w:spacing w:before="160" w:after="60"/>
      </w:pPr>
      <w:r>
        <w:t>Approval Recommendation</w:t>
      </w:r>
    </w:p>
    <w:p>
      <w:r>
        <w:t>Recommended for approval as a standard Windows credential-protection control, with pilot validation for legacy authentication dependencies and an expected restart during rollout.</w:t>
      </w:r>
    </w:p>
    <w:p>
      <w:pPr>
        <w:pStyle w:val="Heading1"/>
        <w:spacing w:before="160" w:after="60"/>
      </w:pPr>
      <w:r>
        <w:t>Implementation Notes / Exceptions</w:t>
      </w:r>
    </w:p>
    <w:tbl>
      <w:tblPr>
        <w:tblW w:type="auto" w:w="0"/>
        <w:tblLook w:firstColumn="1" w:firstRow="1" w:lastColumn="0" w:lastRow="0" w:noHBand="0" w:noVBand="1" w:val="04A0"/>
      </w:tblPr>
      <w:tblGrid>
        <w:gridCol w:w="10368"/>
      </w:tblGrid>
      <w:tr>
        <w:tc>
          <w:tcPr>
            <w:tcW w:type="dxa" w:w="10368"/>
            <w:shd w:fill="FFF2CC"/>
            <w:vAlign w:val="center"/>
            <w:tcMar>
              <w:top w:w="90" w:type="dxa"/>
              <w:start w:w="110" w:type="dxa"/>
              <w:bottom w:w="90" w:type="dxa"/>
              <w:end w:w="110" w:type="dxa"/>
            </w:tcMar>
          </w:tcPr>
          <w:p>
            <w:pPr>
              <w:jc w:val="left"/>
            </w:pPr>
            <w:r/>
            <w:r>
              <w:rPr>
                <w:rFonts w:ascii="Aptos" w:hAnsi="Aptos"/>
                <w:b w:val="0"/>
                <w:sz w:val="18"/>
              </w:rPr>
              <w:t>The policy targets Credential Guard only and deliberately chooses “without UEFI lock.” That is a security/operability tradeoff: UEFI lock provides stronger persistence, while this design favors remote recoverability. Microsoft also limits the DeviceGuard LsaCfgFlags CSP to supported editions such as Enterprise and Education; edition eligibility should be confirmed before assignment.</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