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Windows Defender Antivirus - 3rd Party Compatibility</w:t>
      </w:r>
    </w:p>
    <w:tbl>
      <w:tblPr>
        <w:tblW w:type="auto" w:w="0"/>
        <w:tblLayout w:type="fixed"/>
        <w:tblLook w:firstColumn="1" w:firstRow="1" w:lastColumn="0" w:lastRow="0" w:noHBand="0" w:noVBand="1" w:val="04A0"/>
      </w:tblPr>
      <w:tblGrid>
        <w:gridCol w:w="2088"/>
        <w:gridCol w:w="8568"/>
      </w:tblGrid>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Platform</w:t>
            </w:r>
          </w:p>
        </w:tc>
        <w:tc>
          <w:tcPr>
            <w:tcW w:type="dxa" w:w="5184"/>
            <w:vAlign w:val="center"/>
            <w:tcMar>
              <w:top w:w="90" w:type="dxa"/>
              <w:start w:w="110" w:type="dxa"/>
              <w:bottom w:w="90" w:type="dxa"/>
              <w:end w:w="110" w:type="dxa"/>
            </w:tcMar>
          </w:tcPr>
          <w:p>
            <w:pPr>
              <w:jc w:val="left"/>
            </w:pPr>
            <w:r/>
            <w:r>
              <w:rPr>
                <w:rFonts w:ascii="Aptos" w:hAnsi="Aptos"/>
                <w:b w:val="0"/>
                <w:sz w:val="19"/>
              </w:rPr>
              <w:t>Windows 10/11</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Cloud</w:t>
            </w:r>
          </w:p>
        </w:tc>
        <w:tc>
          <w:tcPr>
            <w:tcW w:type="dxa" w:w="5184"/>
            <w:vAlign w:val="center"/>
            <w:tcMar>
              <w:top w:w="90" w:type="dxa"/>
              <w:start w:w="110" w:type="dxa"/>
              <w:bottom w:w="90" w:type="dxa"/>
              <w:end w:w="110" w:type="dxa"/>
            </w:tcMar>
          </w:tcPr>
          <w:p>
            <w:pPr>
              <w:jc w:val="left"/>
            </w:pPr>
            <w:r/>
            <w:r>
              <w:rPr>
                <w:rFonts w:ascii="Aptos" w:hAnsi="Aptos"/>
                <w:b w:val="0"/>
                <w:sz w:val="19"/>
              </w:rPr>
              <w:t>Microsoft 365 GCC High</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Policy type</w:t>
            </w:r>
          </w:p>
        </w:tc>
        <w:tc>
          <w:tcPr>
            <w:tcW w:type="dxa" w:w="5184"/>
            <w:vAlign w:val="center"/>
            <w:tcMar>
              <w:top w:w="90" w:type="dxa"/>
              <w:start w:w="110" w:type="dxa"/>
              <w:bottom w:w="90" w:type="dxa"/>
              <w:end w:w="110" w:type="dxa"/>
            </w:tcMar>
          </w:tcPr>
          <w:p>
            <w:pPr>
              <w:jc w:val="left"/>
            </w:pPr>
            <w:r/>
            <w:r>
              <w:rPr>
                <w:rFonts w:ascii="Aptos" w:hAnsi="Aptos"/>
                <w:b w:val="0"/>
                <w:sz w:val="19"/>
              </w:rPr>
              <w:t>Device Configuration</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Deployment state</w:t>
            </w:r>
          </w:p>
        </w:tc>
        <w:tc>
          <w:tcPr>
            <w:tcW w:type="dxa" w:w="5184"/>
            <w:vAlign w:val="center"/>
            <w:tcMar>
              <w:top w:w="90" w:type="dxa"/>
              <w:start w:w="110" w:type="dxa"/>
              <w:bottom w:w="90" w:type="dxa"/>
              <w:end w:w="110" w:type="dxa"/>
            </w:tcMar>
          </w:tcPr>
          <w:p>
            <w:pPr>
              <w:jc w:val="left"/>
            </w:pPr>
            <w:r/>
            <w:r>
              <w:rPr>
                <w:rFonts w:ascii="Aptos" w:hAnsi="Aptos"/>
                <w:b w:val="0"/>
                <w:sz w:val="19"/>
              </w:rPr>
              <w:t>New policy is created unassigned; existing assignments are preserved on update. Technician determines deployment scope.</w:t>
            </w:r>
          </w:p>
        </w:tc>
      </w:tr>
    </w:tbl>
    <w:p>
      <w:pPr>
        <w:spacing w:after="0"/>
      </w:pPr>
    </w:p>
    <w:p>
      <w:pPr>
        <w:pStyle w:val="Heading1"/>
        <w:spacing w:before="160" w:after="60"/>
      </w:pPr>
      <w:r>
        <w:t>Executive Summary</w:t>
      </w:r>
    </w:p>
    <w:p>
      <w:r>
        <w:t>This profile is intended for Windows workstations protected by a registered third-party antivirus product while also using Microsoft Defender for Endpoint. It deliberately does not configure Defender Antivirus enforcement settings and does not force Defender into active or passive mode. On supported Windows client devices onboarded to Defender for Endpoint, Microsoft Defender Antivirus can automatically enter passive mode when a non-Microsoft antivirus product is installed and registered.</w:t>
      </w:r>
    </w:p>
    <w:p>
      <w:pPr>
        <w:pStyle w:val="Heading1"/>
        <w:spacing w:before="160" w:after="60"/>
      </w:pPr>
      <w:r>
        <w:t>What the Policy Does</w:t>
      </w:r>
    </w:p>
    <w:tbl>
      <w:tblPr>
        <w:tblW w:type="auto" w:w="0"/>
        <w:tblLayout w:type="fixed"/>
        <w:tblLook w:firstColumn="1" w:firstRow="1" w:lastColumn="0" w:lastRow="0" w:noHBand="0" w:noVBand="1" w:val="04A0"/>
      </w:tblPr>
      <w:tblGrid>
        <w:gridCol w:w="2376"/>
        <w:gridCol w:w="2376"/>
        <w:gridCol w:w="5904"/>
      </w:tblGrid>
      <w:tr>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Control</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Configuration</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Business effect</w:t>
            </w:r>
          </w:p>
        </w:tc>
      </w:tr>
      <w:tr>
        <w:tc>
          <w:tcPr>
            <w:tcW w:type="dxa" w:w="2376"/>
            <w:vAlign w:val="center"/>
            <w:tcMar>
              <w:top w:w="90" w:type="dxa"/>
              <w:start w:w="110" w:type="dxa"/>
              <w:bottom w:w="90" w:type="dxa"/>
              <w:end w:w="110" w:type="dxa"/>
            </w:tcMar>
          </w:tcPr>
          <w:p>
            <w:pPr>
              <w:jc w:val="left"/>
            </w:pPr>
            <w:r/>
            <w:r>
              <w:rPr>
                <w:rFonts w:ascii="Aptos" w:hAnsi="Aptos"/>
                <w:b w:val="0"/>
                <w:sz w:val="18"/>
              </w:rPr>
              <w:t>Defender AV enforcement</w:t>
            </w:r>
          </w:p>
        </w:tc>
        <w:tc>
          <w:tcPr>
            <w:tcW w:type="dxa" w:w="2376"/>
            <w:vAlign w:val="center"/>
            <w:tcMar>
              <w:top w:w="90" w:type="dxa"/>
              <w:start w:w="110" w:type="dxa"/>
              <w:bottom w:w="90" w:type="dxa"/>
              <w:end w:w="110" w:type="dxa"/>
            </w:tcMar>
          </w:tcPr>
          <w:p>
            <w:pPr>
              <w:jc w:val="left"/>
            </w:pPr>
            <w:r/>
            <w:r>
              <w:rPr>
                <w:rFonts w:ascii="Aptos" w:hAnsi="Aptos"/>
                <w:b w:val="0"/>
                <w:sz w:val="18"/>
              </w:rPr>
              <w:t>Not configured</w:t>
            </w:r>
          </w:p>
        </w:tc>
        <w:tc>
          <w:tcPr>
            <w:tcW w:type="dxa" w:w="5904"/>
            <w:vAlign w:val="center"/>
            <w:tcMar>
              <w:top w:w="90" w:type="dxa"/>
              <w:start w:w="110" w:type="dxa"/>
              <w:bottom w:w="90" w:type="dxa"/>
              <w:end w:w="110" w:type="dxa"/>
            </w:tcMar>
          </w:tcPr>
          <w:p>
            <w:pPr>
              <w:jc w:val="left"/>
            </w:pPr>
            <w:r/>
            <w:r>
              <w:rPr>
                <w:rFonts w:ascii="Aptos" w:hAnsi="Aptos"/>
                <w:b w:val="0"/>
                <w:sz w:val="18"/>
              </w:rPr>
              <w:t>Avoids competing antivirus configuration when a third-party AV is the primary product.</w:t>
            </w:r>
          </w:p>
        </w:tc>
      </w:tr>
      <w:tr>
        <w:tc>
          <w:tcPr>
            <w:tcW w:type="dxa" w:w="2376"/>
            <w:vAlign w:val="center"/>
            <w:tcMar>
              <w:top w:w="90" w:type="dxa"/>
              <w:start w:w="110" w:type="dxa"/>
              <w:bottom w:w="90" w:type="dxa"/>
              <w:end w:w="110" w:type="dxa"/>
            </w:tcMar>
          </w:tcPr>
          <w:p>
            <w:pPr>
              <w:jc w:val="left"/>
            </w:pPr>
            <w:r/>
            <w:r>
              <w:rPr>
                <w:rFonts w:ascii="Aptos" w:hAnsi="Aptos"/>
                <w:b w:val="0"/>
                <w:sz w:val="18"/>
              </w:rPr>
              <w:t>Forced passive mode</w:t>
            </w:r>
          </w:p>
        </w:tc>
        <w:tc>
          <w:tcPr>
            <w:tcW w:type="dxa" w:w="2376"/>
            <w:vAlign w:val="center"/>
            <w:tcMar>
              <w:top w:w="90" w:type="dxa"/>
              <w:start w:w="110" w:type="dxa"/>
              <w:bottom w:w="90" w:type="dxa"/>
              <w:end w:w="110" w:type="dxa"/>
            </w:tcMar>
          </w:tcPr>
          <w:p>
            <w:pPr>
              <w:jc w:val="left"/>
            </w:pPr>
            <w:r/>
            <w:r>
              <w:rPr>
                <w:rFonts w:ascii="Aptos" w:hAnsi="Aptos"/>
                <w:b w:val="0"/>
                <w:sz w:val="18"/>
              </w:rPr>
              <w:t>Not configured</w:t>
            </w:r>
          </w:p>
        </w:tc>
        <w:tc>
          <w:tcPr>
            <w:tcW w:type="dxa" w:w="5904"/>
            <w:vAlign w:val="center"/>
            <w:tcMar>
              <w:top w:w="90" w:type="dxa"/>
              <w:start w:w="110" w:type="dxa"/>
              <w:bottom w:w="90" w:type="dxa"/>
              <w:end w:w="110" w:type="dxa"/>
            </w:tcMar>
          </w:tcPr>
          <w:p>
            <w:pPr>
              <w:jc w:val="left"/>
            </w:pPr>
            <w:r/>
            <w:r>
              <w:rPr>
                <w:rFonts w:ascii="Aptos" w:hAnsi="Aptos"/>
                <w:b w:val="0"/>
                <w:sz w:val="18"/>
              </w:rPr>
              <w:t>Relies on supported Windows/MDE behavior rather than forcing a workstation registry setting.</w:t>
            </w:r>
          </w:p>
        </w:tc>
      </w:tr>
      <w:tr>
        <w:tc>
          <w:tcPr>
            <w:tcW w:type="dxa" w:w="2376"/>
            <w:vAlign w:val="center"/>
            <w:tcMar>
              <w:top w:w="90" w:type="dxa"/>
              <w:start w:w="110" w:type="dxa"/>
              <w:bottom w:w="90" w:type="dxa"/>
              <w:end w:w="110" w:type="dxa"/>
            </w:tcMar>
          </w:tcPr>
          <w:p>
            <w:pPr>
              <w:jc w:val="left"/>
            </w:pPr>
            <w:r/>
            <w:r>
              <w:rPr>
                <w:rFonts w:ascii="Aptos" w:hAnsi="Aptos"/>
                <w:b w:val="0"/>
                <w:sz w:val="18"/>
              </w:rPr>
              <w:t>Third-party antivirus</w:t>
            </w:r>
          </w:p>
        </w:tc>
        <w:tc>
          <w:tcPr>
            <w:tcW w:type="dxa" w:w="2376"/>
            <w:vAlign w:val="center"/>
            <w:tcMar>
              <w:top w:w="90" w:type="dxa"/>
              <w:start w:w="110" w:type="dxa"/>
              <w:bottom w:w="90" w:type="dxa"/>
              <w:end w:w="110" w:type="dxa"/>
            </w:tcMar>
          </w:tcPr>
          <w:p>
            <w:pPr>
              <w:jc w:val="left"/>
            </w:pPr>
            <w:r/>
            <w:r>
              <w:rPr>
                <w:rFonts w:ascii="Aptos" w:hAnsi="Aptos"/>
                <w:b w:val="0"/>
                <w:sz w:val="18"/>
              </w:rPr>
              <w:t>Expected primary AV</w:t>
            </w:r>
          </w:p>
        </w:tc>
        <w:tc>
          <w:tcPr>
            <w:tcW w:type="dxa" w:w="5904"/>
            <w:vAlign w:val="center"/>
            <w:tcMar>
              <w:top w:w="90" w:type="dxa"/>
              <w:start w:w="110" w:type="dxa"/>
              <w:bottom w:w="90" w:type="dxa"/>
              <w:end w:w="110" w:type="dxa"/>
            </w:tcMar>
          </w:tcPr>
          <w:p>
            <w:pPr>
              <w:jc w:val="left"/>
            </w:pPr>
            <w:r/>
            <w:r>
              <w:rPr>
                <w:rFonts w:ascii="Aptos" w:hAnsi="Aptos"/>
                <w:b w:val="0"/>
                <w:sz w:val="18"/>
              </w:rPr>
              <w:t>Supports coexistence with products such as SentinelOne when correctly registered.</w:t>
            </w:r>
          </w:p>
        </w:tc>
      </w:tr>
      <w:tr>
        <w:tc>
          <w:tcPr>
            <w:tcW w:type="dxa" w:w="2376"/>
            <w:vAlign w:val="center"/>
            <w:tcMar>
              <w:top w:w="90" w:type="dxa"/>
              <w:start w:w="110" w:type="dxa"/>
              <w:bottom w:w="90" w:type="dxa"/>
              <w:end w:w="110" w:type="dxa"/>
            </w:tcMar>
          </w:tcPr>
          <w:p>
            <w:pPr>
              <w:jc w:val="left"/>
            </w:pPr>
            <w:r/>
            <w:r>
              <w:rPr>
                <w:rFonts w:ascii="Aptos" w:hAnsi="Aptos"/>
                <w:b w:val="0"/>
                <w:sz w:val="18"/>
              </w:rPr>
              <w:t>Policy payload</w:t>
            </w:r>
          </w:p>
        </w:tc>
        <w:tc>
          <w:tcPr>
            <w:tcW w:type="dxa" w:w="2376"/>
            <w:vAlign w:val="center"/>
            <w:tcMar>
              <w:top w:w="90" w:type="dxa"/>
              <w:start w:w="110" w:type="dxa"/>
              <w:bottom w:w="90" w:type="dxa"/>
              <w:end w:w="110" w:type="dxa"/>
            </w:tcMar>
          </w:tcPr>
          <w:p>
            <w:pPr>
              <w:jc w:val="left"/>
            </w:pPr>
            <w:r/>
            <w:r>
              <w:rPr>
                <w:rFonts w:ascii="Aptos" w:hAnsi="Aptos"/>
                <w:b w:val="0"/>
                <w:sz w:val="18"/>
              </w:rPr>
              <w:t>Metadata-only endpoint protection profile</w:t>
            </w:r>
          </w:p>
        </w:tc>
        <w:tc>
          <w:tcPr>
            <w:tcW w:type="dxa" w:w="5904"/>
            <w:vAlign w:val="center"/>
            <w:tcMar>
              <w:top w:w="90" w:type="dxa"/>
              <w:start w:w="110" w:type="dxa"/>
              <w:bottom w:w="90" w:type="dxa"/>
              <w:end w:w="110" w:type="dxa"/>
            </w:tcMar>
          </w:tcPr>
          <w:p>
            <w:pPr>
              <w:jc w:val="left"/>
            </w:pPr>
            <w:r/>
            <w:r>
              <w:rPr>
                <w:rFonts w:ascii="Aptos" w:hAnsi="Aptos"/>
                <w:b w:val="0"/>
                <w:sz w:val="18"/>
              </w:rPr>
              <w:t>Creates the named profile but contains no substantive Defender security settings.</w:t>
            </w:r>
          </w:p>
        </w:tc>
      </w:tr>
    </w:tbl>
    <w:p>
      <w:pPr>
        <w:pStyle w:val="Heading1"/>
        <w:spacing w:before="160" w:after="60"/>
      </w:pPr>
      <w:r>
        <w:t>How It Works</w:t>
      </w:r>
    </w:p>
    <w:p>
      <w:r>
        <w:t>The script creates or updates a windows10EndpointProtectionConfiguration object containing only the policy type, display name, description, and role scope tag. No Microsoft Defender Antivirus controls are present in the payload. The intended operating model is therefore external to the policy itself: the third-party antivirus remains primary, while Defender for Endpoint onboarding and Windows antivirus registration determine Defender Antivirus operating mode.</w:t>
      </w:r>
    </w:p>
    <w:p>
      <w:pPr>
        <w:pStyle w:val="Heading1"/>
        <w:spacing w:before="160" w:after="60"/>
      </w:pPr>
      <w:r>
        <w:t>Why This Policy Is Important</w:t>
      </w:r>
    </w:p>
    <w:p>
      <w:r>
        <w:t>Running two antivirus engines as competing active primary products can create performance, stability, and support problems. A compatibility design that leaves Defender enforcement unconfigured can support a third-party-primary model while preserving Defender for Endpoint capabilities when the device is correctly onboarded and supported.</w:t>
      </w:r>
    </w:p>
    <w:p>
      <w:pPr>
        <w:pStyle w:val="Heading1"/>
        <w:spacing w:before="160" w:after="60"/>
      </w:pPr>
      <w:r>
        <w:t>User Impact</w:t>
      </w:r>
    </w:p>
    <w:p>
      <w:r>
        <w:t>Expected impact: Very Low. The profile does not directly change antivirus settings. Any user-visible antivirus behavior comes from the third-party security product and Defender for Endpoint onboarding state, not from this policy payload.</w:t>
      </w:r>
    </w:p>
    <w:p>
      <w:pPr>
        <w:pStyle w:val="Heading1"/>
        <w:spacing w:before="160" w:after="60"/>
      </w:pPr>
      <w:r>
        <w:t>Security Posture</w:t>
      </w:r>
    </w:p>
    <w:p>
      <w:r>
        <w:t>Compatibility / neutral. This profile does not itself add a security control. Its value is architectural: it avoids imposing Defender Antivirus settings that could conflict with the selected third-party antivirus strategy.</w:t>
      </w:r>
    </w:p>
    <w:p>
      <w:pPr>
        <w:pStyle w:val="Heading1"/>
        <w:spacing w:before="160" w:after="60"/>
      </w:pPr>
      <w:r>
        <w:t>Deployment and Assignment</w:t>
      </w:r>
    </w:p>
    <w:p>
      <w:r>
        <w:t>The script does not assign the policy automatically. New policies remain unassigned and existing assignments are preserved on update. Deployment should be limited to workstations where the third-party antivirus is healthy and registered and where Defender for Endpoint onboarding has been validated.</w:t>
      </w:r>
    </w:p>
    <w:p>
      <w:pPr>
        <w:pStyle w:val="Heading1"/>
        <w:spacing w:before="160" w:after="60"/>
      </w:pPr>
      <w:r>
        <w:t>Approval Recommendation</w:t>
      </w:r>
    </w:p>
    <w:p>
      <w:r>
        <w:t>Approve the third-party compatibility design, but treat this script as conditional implementation approval rather than a substantive security-policy approval. Production use should be validated in a test tenant/device because the payload contains no Defender configuration settings beyond profile metadata.</w:t>
      </w:r>
    </w:p>
    <w:p>
      <w:pPr>
        <w:pStyle w:val="Heading1"/>
        <w:spacing w:before="160" w:after="60"/>
      </w:pPr>
      <w:r>
        <w:t>Implementation Notes / Exceptions</w:t>
      </w:r>
    </w:p>
    <w:tbl>
      <w:tblPr>
        <w:tblW w:type="auto" w:w="0"/>
        <w:tblLook w:firstColumn="1" w:firstRow="1" w:lastColumn="0" w:lastRow="0" w:noHBand="0" w:noVBand="1" w:val="04A0"/>
      </w:tblPr>
      <w:tblGrid>
        <w:gridCol w:w="10368"/>
      </w:tblGrid>
      <w:tr>
        <w:tc>
          <w:tcPr>
            <w:tcW w:type="dxa" w:w="10368"/>
            <w:shd w:fill="FFF2CC"/>
            <w:vAlign w:val="center"/>
            <w:tcMar>
              <w:top w:w="90" w:type="dxa"/>
              <w:start w:w="110" w:type="dxa"/>
              <w:bottom w:w="90" w:type="dxa"/>
              <w:end w:w="110" w:type="dxa"/>
            </w:tcMar>
          </w:tcPr>
          <w:p>
            <w:pPr>
              <w:jc w:val="left"/>
            </w:pPr>
            <w:r/>
            <w:r>
              <w:rPr>
                <w:rFonts w:ascii="Aptos" w:hAnsi="Aptos"/>
                <w:b w:val="0"/>
                <w:sz w:val="18"/>
              </w:rPr>
              <w:t>This is intentionally an effectively empty Endpoint Protection profile. Because it configures no Defender settings, executives should not interpret its presence as enforcing passive mode or any antivirus protection state. On Windows clients, passive mode depends on Defender for Endpoint onboarding and correct registration of the non-Microsoft antivirus. The resulting Defender state should be verified operationally after onboarding.</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