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Windows Firewall – Domain, Private, and Public Defaults Enabled</w:t>
      </w:r>
    </w:p>
    <w:p>
      <w:pPr>
        <w:spacing w:after="200"/>
      </w:pPr>
      <w:r>
        <w:rPr>
          <w:b/>
          <w:color w:val="6B7280"/>
          <w:sz w:val="24"/>
        </w:rPr>
        <w:t>Executive Policy Overview</w:t>
      </w:r>
    </w:p>
    <w:tbl>
      <w:tblPr>
        <w:tblW w:type="auto" w:w="0"/>
        <w:jc w:val="center"/>
        <w:tblLayout w:type="fixed"/>
        <w:tblLook w:firstColumn="1" w:firstRow="1" w:lastColumn="0" w:lastRow="0" w:noHBand="0" w:noVBand="1" w:val="04A0"/>
      </w:tblPr>
      <w:tblGrid>
        <w:gridCol w:w="2160"/>
        <w:gridCol w:w="7992"/>
      </w:tblGrid>
      <w:tr>
        <w:tc>
          <w:tcPr>
            <w:tcW w:type="dxa" w:w="5112"/>
            <w:shd w:fill="D9EAF7"/>
            <w:tcMar>
              <w:top w:w="100" w:type="dxa"/>
              <w:start w:w="100" w:type="dxa"/>
              <w:bottom w:w="100" w:type="dxa"/>
              <w:end w:w="100" w:type="dxa"/>
            </w:tcMar>
            <w:vAlign w:val="center"/>
          </w:tcPr>
          <w:p>
            <w:r>
              <w:rPr>
                <w:b/>
              </w:rPr>
              <w:t>Platform</w:t>
            </w:r>
          </w:p>
        </w:tc>
        <w:tc>
          <w:tcPr>
            <w:tcW w:type="dxa" w:w="5112"/>
            <w:tcMar>
              <w:top w:w="100" w:type="dxa"/>
              <w:start w:w="100" w:type="dxa"/>
              <w:bottom w:w="100" w:type="dxa"/>
              <w:end w:w="100" w:type="dxa"/>
            </w:tcMar>
            <w:vAlign w:val="center"/>
          </w:tcPr>
          <w:p>
            <w:r>
              <w:t>Windows 10/11 and later</w:t>
            </w:r>
          </w:p>
        </w:tc>
      </w:tr>
      <w:tr>
        <w:tc>
          <w:tcPr>
            <w:tcW w:type="dxa" w:w="5112"/>
            <w:shd w:fill="D9EAF7"/>
            <w:tcMar>
              <w:top w:w="100" w:type="dxa"/>
              <w:start w:w="100" w:type="dxa"/>
              <w:bottom w:w="100" w:type="dxa"/>
              <w:end w:w="100" w:type="dxa"/>
            </w:tcMar>
            <w:vAlign w:val="center"/>
          </w:tcPr>
          <w:p>
            <w:r>
              <w:rPr>
                <w:b/>
              </w:rPr>
              <w:t>Cloud</w:t>
            </w:r>
          </w:p>
        </w:tc>
        <w:tc>
          <w:tcPr>
            <w:tcW w:type="dxa" w:w="5112"/>
            <w:tcMar>
              <w:top w:w="100" w:type="dxa"/>
              <w:start w:w="100" w:type="dxa"/>
              <w:bottom w:w="100" w:type="dxa"/>
              <w:end w:w="100" w:type="dxa"/>
            </w:tcMar>
            <w:vAlign w:val="center"/>
          </w:tcPr>
          <w:p>
            <w:r>
              <w:t>Microsoft 365 Commercial</w:t>
            </w:r>
          </w:p>
        </w:tc>
      </w:tr>
      <w:tr>
        <w:tc>
          <w:tcPr>
            <w:tcW w:type="dxa" w:w="5112"/>
            <w:shd w:fill="D9EAF7"/>
            <w:tcMar>
              <w:top w:w="100" w:type="dxa"/>
              <w:start w:w="100" w:type="dxa"/>
              <w:bottom w:w="100" w:type="dxa"/>
              <w:end w:w="100" w:type="dxa"/>
            </w:tcMar>
            <w:vAlign w:val="center"/>
          </w:tcPr>
          <w:p>
            <w:r>
              <w:rPr>
                <w:b/>
              </w:rPr>
              <w:t>Policy type</w:t>
            </w:r>
          </w:p>
        </w:tc>
        <w:tc>
          <w:tcPr>
            <w:tcW w:type="dxa" w:w="5112"/>
            <w:tcMar>
              <w:top w:w="100" w:type="dxa"/>
              <w:start w:w="100" w:type="dxa"/>
              <w:bottom w:w="100" w:type="dxa"/>
              <w:end w:w="100" w:type="dxa"/>
            </w:tcMar>
            <w:vAlign w:val="center"/>
          </w:tcPr>
          <w:p>
            <w:r>
              <w:t>Endpoint Protection – Windows Firewall</w:t>
            </w:r>
          </w:p>
        </w:tc>
      </w:tr>
      <w:tr>
        <w:tc>
          <w:tcPr>
            <w:tcW w:type="dxa" w:w="5112"/>
            <w:shd w:fill="D9EAF7"/>
            <w:tcMar>
              <w:top w:w="100" w:type="dxa"/>
              <w:start w:w="100" w:type="dxa"/>
              <w:bottom w:w="100" w:type="dxa"/>
              <w:end w:w="100" w:type="dxa"/>
            </w:tcMar>
            <w:vAlign w:val="center"/>
          </w:tcPr>
          <w:p>
            <w:r>
              <w:rPr>
                <w:b/>
              </w:rPr>
              <w:t>Deployment state</w:t>
            </w:r>
          </w:p>
        </w:tc>
        <w:tc>
          <w:tcPr>
            <w:tcW w:type="dxa" w:w="5112"/>
            <w:tcMar>
              <w:top w:w="100" w:type="dxa"/>
              <w:start w:w="100" w:type="dxa"/>
              <w:bottom w:w="100" w:type="dxa"/>
              <w:end w:w="100" w:type="dxa"/>
            </w:tcMar>
            <w:vAlign w:val="center"/>
          </w:tcPr>
          <w:p>
            <w:r>
              <w:t>Created unassigned; existing assignments preserved on update</w:t>
            </w:r>
          </w:p>
        </w:tc>
      </w:tr>
    </w:tbl>
    <w:p>
      <w:pPr>
        <w:spacing w:after="0"/>
      </w:pPr>
    </w:p>
    <w:p>
      <w:pPr>
        <w:pStyle w:val="Heading1"/>
        <w:keepNext/>
      </w:pPr>
      <w:r>
        <w:t>Executive Summary</w:t>
      </w:r>
    </w:p>
    <w:p>
      <w:pPr>
        <w:spacing w:after="120" w:line="259" w:lineRule="auto"/>
      </w:pPr>
      <w:r>
        <w:t>This policy establishes a simple Windows Firewall baseline by enabling Microsoft Defender Firewall for all three Windows network profiles: Domain, Private, and Public. Other firewall behaviors are intentionally left at Windows defaults, providing foundational host-based network protection without introducing a large custom ruleset.</w:t>
      </w:r>
    </w:p>
    <w:p>
      <w:pPr>
        <w:pStyle w:val="Heading1"/>
        <w:keepNext/>
      </w:pPr>
      <w:r>
        <w:t>What the Policy Does</w:t>
      </w:r>
    </w:p>
    <w:tbl>
      <w:tblPr>
        <w:tblW w:type="auto" w:w="0"/>
        <w:jc w:val="center"/>
        <w:tblLayout w:type="fixed"/>
        <w:tblLook w:firstColumn="1" w:firstRow="1" w:lastColumn="0" w:lastRow="0" w:noHBand="0" w:noVBand="1" w:val="04A0"/>
      </w:tblPr>
      <w:tblGrid>
        <w:gridCol w:w="2880"/>
        <w:gridCol w:w="2376"/>
        <w:gridCol w:w="4968"/>
      </w:tblGrid>
      <w:tr>
        <w:trPr>
          <w:tblHeader w:val="true"/>
        </w:trPr>
        <w:tc>
          <w:tcPr>
            <w:tcW w:type="dxa" w:w="3408"/>
            <w:shd w:fill="1F4E79"/>
            <w:tcMar>
              <w:top w:w="120" w:type="dxa"/>
              <w:start w:w="120" w:type="dxa"/>
              <w:bottom w:w="120" w:type="dxa"/>
              <w:end w:w="120" w:type="dxa"/>
            </w:tcMar>
            <w:vAlign w:val="center"/>
          </w:tcPr>
          <w:p>
            <w:r>
              <w:rPr>
                <w:b/>
                <w:color w:val="FFFFFF"/>
              </w:rPr>
              <w:t>Control</w:t>
            </w:r>
          </w:p>
        </w:tc>
        <w:tc>
          <w:tcPr>
            <w:tcW w:type="dxa" w:w="3408"/>
            <w:shd w:fill="1F4E79"/>
            <w:tcMar>
              <w:top w:w="120" w:type="dxa"/>
              <w:start w:w="120" w:type="dxa"/>
              <w:bottom w:w="120" w:type="dxa"/>
              <w:end w:w="120" w:type="dxa"/>
            </w:tcMar>
            <w:vAlign w:val="center"/>
          </w:tcPr>
          <w:p>
            <w:r>
              <w:rPr>
                <w:b/>
                <w:color w:val="FFFFFF"/>
              </w:rPr>
              <w:t>Configuration</w:t>
            </w:r>
          </w:p>
        </w:tc>
        <w:tc>
          <w:tcPr>
            <w:tcW w:type="dxa" w:w="3408"/>
            <w:shd w:fill="1F4E79"/>
            <w:tcMar>
              <w:top w:w="120" w:type="dxa"/>
              <w:start w:w="120" w:type="dxa"/>
              <w:bottom w:w="120" w:type="dxa"/>
              <w:end w:w="120" w:type="dxa"/>
            </w:tcMar>
            <w:vAlign w:val="center"/>
          </w:tcPr>
          <w:p>
            <w:r>
              <w:rPr>
                <w:b/>
                <w:color w:val="FFFFFF"/>
              </w:rPr>
              <w:t>Business effect</w:t>
            </w:r>
          </w:p>
        </w:tc>
      </w:tr>
      <w:tr>
        <w:tc>
          <w:tcPr>
            <w:tcW w:type="dxa" w:w="2880"/>
            <w:tcMar>
              <w:top w:w="120" w:type="dxa"/>
              <w:start w:w="120" w:type="dxa"/>
              <w:bottom w:w="120" w:type="dxa"/>
              <w:end w:w="120" w:type="dxa"/>
            </w:tcMar>
            <w:vAlign w:val="center"/>
          </w:tcPr>
          <w:p>
            <w:r>
              <w:t>Domain profile</w:t>
            </w:r>
          </w:p>
        </w:tc>
        <w:tc>
          <w:tcPr>
            <w:tcW w:type="dxa" w:w="2376"/>
            <w:tcMar>
              <w:top w:w="120" w:type="dxa"/>
              <w:start w:w="120" w:type="dxa"/>
              <w:bottom w:w="120" w:type="dxa"/>
              <w:end w:w="120" w:type="dxa"/>
            </w:tcMar>
            <w:vAlign w:val="center"/>
          </w:tcPr>
          <w:p>
            <w:r>
              <w:t>Firewall enabled</w:t>
            </w:r>
          </w:p>
        </w:tc>
        <w:tc>
          <w:tcPr>
            <w:tcW w:type="dxa" w:w="4968"/>
            <w:tcMar>
              <w:top w:w="120" w:type="dxa"/>
              <w:start w:w="120" w:type="dxa"/>
              <w:bottom w:w="120" w:type="dxa"/>
              <w:end w:w="120" w:type="dxa"/>
            </w:tcMar>
            <w:vAlign w:val="center"/>
          </w:tcPr>
          <w:p>
            <w:r>
              <w:t>Protects devices while connected to domain-authenticated networks.</w:t>
            </w:r>
          </w:p>
        </w:tc>
      </w:tr>
      <w:tr>
        <w:tc>
          <w:tcPr>
            <w:tcW w:type="dxa" w:w="2880"/>
            <w:tcMar>
              <w:top w:w="120" w:type="dxa"/>
              <w:start w:w="120" w:type="dxa"/>
              <w:bottom w:w="120" w:type="dxa"/>
              <w:end w:w="120" w:type="dxa"/>
            </w:tcMar>
            <w:vAlign w:val="center"/>
          </w:tcPr>
          <w:p>
            <w:r>
              <w:t>Private profile</w:t>
            </w:r>
          </w:p>
        </w:tc>
        <w:tc>
          <w:tcPr>
            <w:tcW w:type="dxa" w:w="2376"/>
            <w:tcMar>
              <w:top w:w="120" w:type="dxa"/>
              <w:start w:w="120" w:type="dxa"/>
              <w:bottom w:w="120" w:type="dxa"/>
              <w:end w:w="120" w:type="dxa"/>
            </w:tcMar>
            <w:vAlign w:val="center"/>
          </w:tcPr>
          <w:p>
            <w:r>
              <w:t>Firewall enabled</w:t>
            </w:r>
          </w:p>
        </w:tc>
        <w:tc>
          <w:tcPr>
            <w:tcW w:type="dxa" w:w="4968"/>
            <w:tcMar>
              <w:top w:w="120" w:type="dxa"/>
              <w:start w:w="120" w:type="dxa"/>
              <w:bottom w:w="120" w:type="dxa"/>
              <w:end w:w="120" w:type="dxa"/>
            </w:tcMar>
            <w:vAlign w:val="center"/>
          </w:tcPr>
          <w:p>
            <w:r>
              <w:t>Protects devices on trusted private networks.</w:t>
            </w:r>
          </w:p>
        </w:tc>
      </w:tr>
      <w:tr>
        <w:tc>
          <w:tcPr>
            <w:tcW w:type="dxa" w:w="2880"/>
            <w:tcMar>
              <w:top w:w="120" w:type="dxa"/>
              <w:start w:w="120" w:type="dxa"/>
              <w:bottom w:w="120" w:type="dxa"/>
              <w:end w:w="120" w:type="dxa"/>
            </w:tcMar>
            <w:vAlign w:val="center"/>
          </w:tcPr>
          <w:p>
            <w:r>
              <w:t>Public profile</w:t>
            </w:r>
          </w:p>
        </w:tc>
        <w:tc>
          <w:tcPr>
            <w:tcW w:type="dxa" w:w="2376"/>
            <w:tcMar>
              <w:top w:w="120" w:type="dxa"/>
              <w:start w:w="120" w:type="dxa"/>
              <w:bottom w:w="120" w:type="dxa"/>
              <w:end w:w="120" w:type="dxa"/>
            </w:tcMar>
            <w:vAlign w:val="center"/>
          </w:tcPr>
          <w:p>
            <w:r>
              <w:t>Firewall enabled</w:t>
            </w:r>
          </w:p>
        </w:tc>
        <w:tc>
          <w:tcPr>
            <w:tcW w:type="dxa" w:w="4968"/>
            <w:tcMar>
              <w:top w:w="120" w:type="dxa"/>
              <w:start w:w="120" w:type="dxa"/>
              <w:bottom w:w="120" w:type="dxa"/>
              <w:end w:w="120" w:type="dxa"/>
            </w:tcMar>
            <w:vAlign w:val="center"/>
          </w:tcPr>
          <w:p>
            <w:r>
              <w:t>Protects devices on untrusted/public networks.</w:t>
            </w:r>
          </w:p>
        </w:tc>
      </w:tr>
      <w:tr>
        <w:tc>
          <w:tcPr>
            <w:tcW w:type="dxa" w:w="2880"/>
            <w:tcMar>
              <w:top w:w="120" w:type="dxa"/>
              <w:start w:w="120" w:type="dxa"/>
              <w:bottom w:w="120" w:type="dxa"/>
              <w:end w:w="120" w:type="dxa"/>
            </w:tcMar>
            <w:vAlign w:val="center"/>
          </w:tcPr>
          <w:p>
            <w:r>
              <w:t>Other firewall settings</w:t>
            </w:r>
          </w:p>
        </w:tc>
        <w:tc>
          <w:tcPr>
            <w:tcW w:type="dxa" w:w="2376"/>
            <w:tcMar>
              <w:top w:w="120" w:type="dxa"/>
              <w:start w:w="120" w:type="dxa"/>
              <w:bottom w:w="120" w:type="dxa"/>
              <w:end w:w="120" w:type="dxa"/>
            </w:tcMar>
            <w:vAlign w:val="center"/>
          </w:tcPr>
          <w:p>
            <w:r>
              <w:t>Windows defaults</w:t>
            </w:r>
          </w:p>
        </w:tc>
        <w:tc>
          <w:tcPr>
            <w:tcW w:type="dxa" w:w="4968"/>
            <w:tcMar>
              <w:top w:w="120" w:type="dxa"/>
              <w:start w:w="120" w:type="dxa"/>
              <w:bottom w:w="120" w:type="dxa"/>
              <w:end w:w="120" w:type="dxa"/>
            </w:tcMar>
            <w:vAlign w:val="center"/>
          </w:tcPr>
          <w:p>
            <w:r>
              <w:t>Avoids unnecessary customization of inbound/outbound behavior in this baseline.</w:t>
            </w:r>
          </w:p>
        </w:tc>
      </w:tr>
      <w:tr>
        <w:tc>
          <w:tcPr>
            <w:tcW w:type="dxa" w:w="2880"/>
            <w:tcMar>
              <w:top w:w="120" w:type="dxa"/>
              <w:start w:w="120" w:type="dxa"/>
              <w:bottom w:w="120" w:type="dxa"/>
              <w:end w:w="120" w:type="dxa"/>
            </w:tcMar>
            <w:vAlign w:val="center"/>
          </w:tcPr>
          <w:p>
            <w:r>
              <w:t>Automatic assignment</w:t>
            </w:r>
          </w:p>
        </w:tc>
        <w:tc>
          <w:tcPr>
            <w:tcW w:type="dxa" w:w="2376"/>
            <w:tcMar>
              <w:top w:w="120" w:type="dxa"/>
              <w:start w:w="120" w:type="dxa"/>
              <w:bottom w:w="120" w:type="dxa"/>
              <w:end w:w="120" w:type="dxa"/>
            </w:tcMar>
            <w:vAlign w:val="center"/>
          </w:tcPr>
          <w:p>
            <w:r>
              <w:t>None</w:t>
            </w:r>
          </w:p>
        </w:tc>
        <w:tc>
          <w:tcPr>
            <w:tcW w:type="dxa" w:w="4968"/>
            <w:tcMar>
              <w:top w:w="120" w:type="dxa"/>
              <w:start w:w="120" w:type="dxa"/>
              <w:bottom w:w="120" w:type="dxa"/>
              <w:end w:w="120" w:type="dxa"/>
            </w:tcMar>
            <w:vAlign w:val="center"/>
          </w:tcPr>
          <w:p>
            <w:r>
              <w:t>Technician selects the appropriate deployment scope.</w:t>
            </w:r>
          </w:p>
        </w:tc>
      </w:tr>
    </w:tbl>
    <w:p>
      <w:pPr>
        <w:spacing w:after="0"/>
      </w:pPr>
    </w:p>
    <w:p>
      <w:pPr>
        <w:pStyle w:val="Heading1"/>
        <w:keepNext/>
      </w:pPr>
      <w:r>
        <w:t>How It Works</w:t>
      </w:r>
    </w:p>
    <w:p>
      <w:pPr>
        <w:spacing w:after="120" w:line="259" w:lineRule="auto"/>
      </w:pPr>
      <w:r>
        <w:t>The script creates or updates one Windows Endpoint Protection configuration and sets only the firewallEnabled property for the Domain, Private, and Public network profiles. It deliberately leaves other firewall properties unconfigured so Windows default behavior applies. Exact-name duplicate detection prevents ambiguous updates.</w:t>
      </w:r>
    </w:p>
    <w:p>
      <w:pPr>
        <w:pStyle w:val="Heading1"/>
        <w:keepNext/>
      </w:pPr>
      <w:r>
        <w:t>Why This Policy Is Important</w:t>
      </w:r>
    </w:p>
    <w:p>
      <w:pPr>
        <w:spacing w:after="120" w:line="259" w:lineRule="auto"/>
      </w:pPr>
      <w:r>
        <w:t>Host-based firewall protection reduces exposure to unsolicited network traffic and helps maintain a consistent minimum security posture when devices move between corporate, home, and public networks. Enabling all three profiles avoids a protection gap caused by a network being classified differently from expected.</w:t>
      </w:r>
    </w:p>
    <w:p>
      <w:pPr>
        <w:pStyle w:val="Heading1"/>
        <w:keepNext/>
      </w:pPr>
      <w:r>
        <w:t>User Impact</w:t>
      </w:r>
    </w:p>
    <w:p>
      <w:pPr>
        <w:spacing w:after="120" w:line="259" w:lineRule="auto"/>
      </w:pPr>
      <w:r>
        <w:rPr>
          <w:b/>
        </w:rPr>
        <w:t>Expected impact:</w:t>
      </w:r>
      <w:r>
        <w:t xml:space="preserve"> Low</w:t>
      </w:r>
    </w:p>
    <w:p>
      <w:pPr>
        <w:spacing w:after="120" w:line="259" w:lineRule="auto"/>
      </w:pPr>
      <w:r>
        <w:t>The firewall runs in the background. Most users should not notice a change unless an application depends on inbound network connectivity that Windows Firewall would normally restrict. Application-specific exceptions should be handled through separate, deliberate firewall-rule policies.</w:t>
      </w:r>
    </w:p>
    <w:p>
      <w:pPr>
        <w:pStyle w:val="Heading1"/>
        <w:keepNext/>
      </w:pPr>
      <w:r>
        <w:t>Security Posture</w:t>
      </w:r>
    </w:p>
    <w:p>
      <w:pPr>
        <w:spacing w:after="80"/>
      </w:pPr>
      <w:r>
        <w:rPr>
          <w:b/>
          <w:color w:val="1F4E79"/>
        </w:rPr>
        <w:t>Baseline host-network protection</w:t>
      </w:r>
    </w:p>
    <w:p>
      <w:pPr>
        <w:spacing w:after="120" w:line="259" w:lineRule="auto"/>
      </w:pPr>
      <w:r>
        <w:t>This is a foundational firewall baseline. It enables protection everywhere while intentionally avoiding an aggressive custom rule posture in the base policy.</w:t>
      </w:r>
    </w:p>
    <w:p>
      <w:pPr>
        <w:pStyle w:val="Heading1"/>
        <w:keepNext/>
      </w:pPr>
      <w:r>
        <w:t>Deployment and Assignment</w:t>
      </w:r>
    </w:p>
    <w:p>
      <w:pPr>
        <w:spacing w:after="120" w:line="259" w:lineRule="auto"/>
      </w:pPr>
      <w:r>
        <w:t>The script does not automatically target users, devices, or groups. Newly created profiles remain unassigned; when an existing profile is updated, its current assignments are preserved.</w:t>
      </w:r>
    </w:p>
    <w:p>
      <w:pPr>
        <w:pStyle w:val="ListBullet"/>
        <w:spacing w:after="40"/>
      </w:pPr>
      <w:r>
        <w:t>Review business applications that require inbound connections or local discovery.</w:t>
      </w:r>
    </w:p>
    <w:p>
      <w:pPr>
        <w:pStyle w:val="ListBullet"/>
        <w:spacing w:after="40"/>
      </w:pPr>
      <w:r>
        <w:t>Use separate rule policies for approved exceptions instead of weakening the baseline.</w:t>
      </w:r>
    </w:p>
    <w:p>
      <w:pPr>
        <w:pStyle w:val="ListBullet"/>
        <w:spacing w:after="40"/>
      </w:pPr>
      <w:r>
        <w:t>Pilot on representative endpoint roles before broad assignment.</w:t>
      </w:r>
    </w:p>
    <w:p>
      <w:pPr>
        <w:pStyle w:val="Heading1"/>
        <w:keepNext/>
      </w:pPr>
      <w:r>
        <w:t>Approval Recommendation</w:t>
      </w:r>
    </w:p>
    <w:p>
      <w:pPr>
        <w:spacing w:after="120" w:line="259" w:lineRule="auto"/>
      </w:pPr>
      <w:r>
        <w:t>Recommended for approval as the standard Windows Firewall baseline. The configuration is intentionally narrow, enables all network profiles, and leaves other firewall behavior at Windows defaults.</w:t>
      </w:r>
    </w:p>
    <w:p>
      <w:pPr>
        <w:pStyle w:val="Heading1"/>
        <w:keepNext/>
      </w:pPr>
      <w:r>
        <w:t>Implementation Notes / Exceptions</w:t>
      </w:r>
    </w:p>
    <w:tbl>
      <w:tblPr>
        <w:tblW w:type="auto" w:w="0"/>
        <w:jc w:val="center"/>
        <w:tblLayout w:type="autofit"/>
        <w:tblLook w:firstColumn="1" w:firstRow="1" w:lastColumn="0" w:lastRow="0" w:noHBand="0" w:noVBand="1" w:val="04A0"/>
      </w:tblPr>
      <w:tblGrid>
        <w:gridCol w:w="10224"/>
      </w:tblGrid>
      <w:tr>
        <w:tc>
          <w:tcPr>
            <w:tcW w:type="dxa" w:w="10224"/>
            <w:shd w:fill="FFF4CC"/>
            <w:tcMar>
              <w:top w:w="140" w:type="dxa"/>
              <w:start w:w="160" w:type="dxa"/>
              <w:bottom w:w="140" w:type="dxa"/>
              <w:end w:w="160" w:type="dxa"/>
            </w:tcMar>
          </w:tcPr>
          <w:p>
            <w:r>
              <w:rPr>
                <w:b/>
                <w:color w:val="1F4E79"/>
              </w:rPr>
              <w:t xml:space="preserve">Implementation note: </w:t>
            </w:r>
            <w:r>
              <w:t>The script only enables the three firewall profiles; it does not define custom inbound/outbound actions or application rules. Any required exceptions should be reviewed and deployed separately.</w:t>
            </w:r>
          </w:p>
        </w:tc>
      </w:tr>
    </w:tbl>
    <w:p>
      <w:pPr>
        <w:spacing w:after="0"/>
      </w:pPr>
    </w:p>
    <w:sectPr w:rsidR="00FC693F" w:rsidRPr="0006063C" w:rsidSect="00034616">
      <w:footerReference w:type="default" r:id="rId9"/>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7"/>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