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pPr>
      <w:r>
        <w:t>Windows LAPS - RIT-Admin Backup to Entra</w:t>
      </w:r>
    </w:p>
    <w:tbl>
      <w:tblPr>
        <w:tblW w:type="auto" w:w="0"/>
        <w:tblLayout w:type="fixed"/>
        <w:tblLook w:firstColumn="1" w:firstRow="1" w:lastColumn="0" w:lastRow="0" w:noHBand="0" w:noVBand="1" w:val="04A0"/>
      </w:tblPr>
      <w:tblGrid>
        <w:gridCol w:w="2088"/>
        <w:gridCol w:w="8568"/>
      </w:tblGrid>
      <w:tr>
        <w:tc>
          <w:tcPr>
            <w:tcW w:type="dxa" w:w="5184"/>
            <w:vAlign w:val="center"/>
            <w:tcMar>
              <w:top w:w="90" w:type="dxa"/>
              <w:start w:w="110" w:type="dxa"/>
              <w:bottom w:w="90" w:type="dxa"/>
              <w:end w:w="110" w:type="dxa"/>
            </w:tcMar>
            <w:shd w:fill="D9EAF7"/>
          </w:tcPr>
          <w:p>
            <w:pPr>
              <w:jc w:val="left"/>
            </w:pPr>
            <w:r/>
            <w:r>
              <w:rPr>
                <w:rFonts w:ascii="Aptos" w:hAnsi="Aptos"/>
                <w:b/>
                <w:color w:val="17365D"/>
                <w:sz w:val="19"/>
              </w:rPr>
              <w:t>Platform</w:t>
            </w:r>
          </w:p>
        </w:tc>
        <w:tc>
          <w:tcPr>
            <w:tcW w:type="dxa" w:w="5184"/>
            <w:vAlign w:val="center"/>
            <w:tcMar>
              <w:top w:w="90" w:type="dxa"/>
              <w:start w:w="110" w:type="dxa"/>
              <w:bottom w:w="90" w:type="dxa"/>
              <w:end w:w="110" w:type="dxa"/>
            </w:tcMar>
          </w:tcPr>
          <w:p>
            <w:pPr>
              <w:jc w:val="left"/>
            </w:pPr>
            <w:r/>
            <w:r>
              <w:rPr>
                <w:rFonts w:ascii="Aptos" w:hAnsi="Aptos"/>
                <w:b w:val="0"/>
                <w:sz w:val="19"/>
              </w:rPr>
              <w:t>Windows 10/11</w:t>
            </w:r>
          </w:p>
        </w:tc>
      </w:tr>
      <w:tr>
        <w:tc>
          <w:tcPr>
            <w:tcW w:type="dxa" w:w="5184"/>
            <w:vAlign w:val="center"/>
            <w:tcMar>
              <w:top w:w="90" w:type="dxa"/>
              <w:start w:w="110" w:type="dxa"/>
              <w:bottom w:w="90" w:type="dxa"/>
              <w:end w:w="110" w:type="dxa"/>
            </w:tcMar>
            <w:shd w:fill="D9EAF7"/>
          </w:tcPr>
          <w:p>
            <w:pPr>
              <w:jc w:val="left"/>
            </w:pPr>
            <w:r/>
            <w:r>
              <w:rPr>
                <w:rFonts w:ascii="Aptos" w:hAnsi="Aptos"/>
                <w:b/>
                <w:color w:val="17365D"/>
                <w:sz w:val="19"/>
              </w:rPr>
              <w:t>Cloud</w:t>
            </w:r>
          </w:p>
        </w:tc>
        <w:tc>
          <w:tcPr>
            <w:tcW w:type="dxa" w:w="5184"/>
            <w:vAlign w:val="center"/>
            <w:tcMar>
              <w:top w:w="90" w:type="dxa"/>
              <w:start w:w="110" w:type="dxa"/>
              <w:bottom w:w="90" w:type="dxa"/>
              <w:end w:w="110" w:type="dxa"/>
            </w:tcMar>
          </w:tcPr>
          <w:p>
            <w:pPr>
              <w:jc w:val="left"/>
            </w:pPr>
            <w:r/>
            <w:r>
              <w:rPr>
                <w:rFonts w:ascii="Aptos" w:hAnsi="Aptos"/>
                <w:b w:val="0"/>
                <w:sz w:val="19"/>
              </w:rPr>
              <w:t>Microsoft 365 GCC High</w:t>
            </w:r>
          </w:p>
        </w:tc>
      </w:tr>
      <w:tr>
        <w:tc>
          <w:tcPr>
            <w:tcW w:type="dxa" w:w="5184"/>
            <w:vAlign w:val="center"/>
            <w:tcMar>
              <w:top w:w="90" w:type="dxa"/>
              <w:start w:w="110" w:type="dxa"/>
              <w:bottom w:w="90" w:type="dxa"/>
              <w:end w:w="110" w:type="dxa"/>
            </w:tcMar>
            <w:shd w:fill="D9EAF7"/>
          </w:tcPr>
          <w:p>
            <w:pPr>
              <w:jc w:val="left"/>
            </w:pPr>
            <w:r/>
            <w:r>
              <w:rPr>
                <w:rFonts w:ascii="Aptos" w:hAnsi="Aptos"/>
                <w:b/>
                <w:color w:val="17365D"/>
                <w:sz w:val="19"/>
              </w:rPr>
              <w:t>Policy type</w:t>
            </w:r>
          </w:p>
        </w:tc>
        <w:tc>
          <w:tcPr>
            <w:tcW w:type="dxa" w:w="5184"/>
            <w:vAlign w:val="center"/>
            <w:tcMar>
              <w:top w:w="90" w:type="dxa"/>
              <w:start w:w="110" w:type="dxa"/>
              <w:bottom w:w="90" w:type="dxa"/>
              <w:end w:w="110" w:type="dxa"/>
            </w:tcMar>
          </w:tcPr>
          <w:p>
            <w:pPr>
              <w:jc w:val="left"/>
            </w:pPr>
            <w:r/>
            <w:r>
              <w:rPr>
                <w:rFonts w:ascii="Aptos" w:hAnsi="Aptos"/>
                <w:b w:val="0"/>
                <w:sz w:val="19"/>
              </w:rPr>
              <w:t>Device Configuration</w:t>
            </w:r>
          </w:p>
        </w:tc>
      </w:tr>
      <w:tr>
        <w:tc>
          <w:tcPr>
            <w:tcW w:type="dxa" w:w="5184"/>
            <w:vAlign w:val="center"/>
            <w:tcMar>
              <w:top w:w="90" w:type="dxa"/>
              <w:start w:w="110" w:type="dxa"/>
              <w:bottom w:w="90" w:type="dxa"/>
              <w:end w:w="110" w:type="dxa"/>
            </w:tcMar>
            <w:shd w:fill="D9EAF7"/>
          </w:tcPr>
          <w:p>
            <w:pPr>
              <w:jc w:val="left"/>
            </w:pPr>
            <w:r/>
            <w:r>
              <w:rPr>
                <w:rFonts w:ascii="Aptos" w:hAnsi="Aptos"/>
                <w:b/>
                <w:color w:val="17365D"/>
                <w:sz w:val="19"/>
              </w:rPr>
              <w:t>Deployment state</w:t>
            </w:r>
          </w:p>
        </w:tc>
        <w:tc>
          <w:tcPr>
            <w:tcW w:type="dxa" w:w="5184"/>
            <w:vAlign w:val="center"/>
            <w:tcMar>
              <w:top w:w="90" w:type="dxa"/>
              <w:start w:w="110" w:type="dxa"/>
              <w:bottom w:w="90" w:type="dxa"/>
              <w:end w:w="110" w:type="dxa"/>
            </w:tcMar>
          </w:tcPr>
          <w:p>
            <w:pPr>
              <w:jc w:val="left"/>
            </w:pPr>
            <w:r/>
            <w:r>
              <w:rPr>
                <w:rFonts w:ascii="Aptos" w:hAnsi="Aptos"/>
                <w:b w:val="0"/>
                <w:sz w:val="19"/>
              </w:rPr>
              <w:t>New policy is created unassigned; existing assignments are preserved on update. Technician determines deployment scope.</w:t>
            </w:r>
          </w:p>
        </w:tc>
      </w:tr>
    </w:tbl>
    <w:p>
      <w:pPr>
        <w:spacing w:after="0"/>
      </w:pPr>
    </w:p>
    <w:p>
      <w:pPr>
        <w:pStyle w:val="Heading1"/>
        <w:spacing w:before="160" w:after="60"/>
      </w:pPr>
      <w:r>
        <w:t>Executive Summary</w:t>
      </w:r>
    </w:p>
    <w:p>
      <w:r>
        <w:t>This policy uses Windows Local Administrator Password Solution (Windows LAPS) automatic account management to create and manage a dedicated local administrator account named RIT-Admin. The password is backed up to Microsoft Entra ID, generated as a 20-character complex secret, and automatically reset after administrative use. The design gives authorized support personnel a recoverable local administrator credential without relying on a shared static password.</w:t>
      </w:r>
    </w:p>
    <w:p>
      <w:pPr>
        <w:pStyle w:val="Heading1"/>
        <w:spacing w:before="160" w:after="60"/>
      </w:pPr>
      <w:r>
        <w:t>What the Policy Does</w:t>
      </w:r>
    </w:p>
    <w:tbl>
      <w:tblPr>
        <w:tblW w:type="auto" w:w="0"/>
        <w:tblLayout w:type="fixed"/>
        <w:tblLook w:firstColumn="1" w:firstRow="1" w:lastColumn="0" w:lastRow="0" w:noHBand="0" w:noVBand="1" w:val="04A0"/>
      </w:tblPr>
      <w:tblGrid>
        <w:gridCol w:w="2376"/>
        <w:gridCol w:w="2376"/>
        <w:gridCol w:w="5904"/>
      </w:tblGrid>
      <w:tr>
        <w:tc>
          <w:tcPr>
            <w:tcW w:type="dxa" w:w="3456"/>
            <w:vAlign w:val="center"/>
            <w:tcMar>
              <w:top w:w="90" w:type="dxa"/>
              <w:start w:w="110" w:type="dxa"/>
              <w:bottom w:w="90" w:type="dxa"/>
              <w:end w:w="110" w:type="dxa"/>
            </w:tcMar>
            <w:shd w:fill="1F4E78"/>
          </w:tcPr>
          <w:p>
            <w:pPr>
              <w:jc w:val="center"/>
            </w:pPr>
            <w:r/>
            <w:r>
              <w:rPr>
                <w:rFonts w:ascii="Aptos" w:hAnsi="Aptos"/>
                <w:b/>
                <w:color w:val="FFFFFF"/>
                <w:sz w:val="18"/>
              </w:rPr>
              <w:t>Control</w:t>
            </w:r>
          </w:p>
        </w:tc>
        <w:tc>
          <w:tcPr>
            <w:tcW w:type="dxa" w:w="3456"/>
            <w:vAlign w:val="center"/>
            <w:tcMar>
              <w:top w:w="90" w:type="dxa"/>
              <w:start w:w="110" w:type="dxa"/>
              <w:bottom w:w="90" w:type="dxa"/>
              <w:end w:w="110" w:type="dxa"/>
            </w:tcMar>
            <w:shd w:fill="1F4E78"/>
          </w:tcPr>
          <w:p>
            <w:pPr>
              <w:jc w:val="center"/>
            </w:pPr>
            <w:r/>
            <w:r>
              <w:rPr>
                <w:rFonts w:ascii="Aptos" w:hAnsi="Aptos"/>
                <w:b/>
                <w:color w:val="FFFFFF"/>
                <w:sz w:val="18"/>
              </w:rPr>
              <w:t>Configuration</w:t>
            </w:r>
          </w:p>
        </w:tc>
        <w:tc>
          <w:tcPr>
            <w:tcW w:type="dxa" w:w="3456"/>
            <w:vAlign w:val="center"/>
            <w:tcMar>
              <w:top w:w="90" w:type="dxa"/>
              <w:start w:w="110" w:type="dxa"/>
              <w:bottom w:w="90" w:type="dxa"/>
              <w:end w:w="110" w:type="dxa"/>
            </w:tcMar>
            <w:shd w:fill="1F4E78"/>
          </w:tcPr>
          <w:p>
            <w:pPr>
              <w:jc w:val="center"/>
            </w:pPr>
            <w:r/>
            <w:r>
              <w:rPr>
                <w:rFonts w:ascii="Aptos" w:hAnsi="Aptos"/>
                <w:b/>
                <w:color w:val="FFFFFF"/>
                <w:sz w:val="18"/>
              </w:rPr>
              <w:t>Business effect</w:t>
            </w:r>
          </w:p>
        </w:tc>
      </w:tr>
      <w:tr>
        <w:tc>
          <w:tcPr>
            <w:tcW w:type="dxa" w:w="2376"/>
            <w:vAlign w:val="center"/>
            <w:tcMar>
              <w:top w:w="90" w:type="dxa"/>
              <w:start w:w="110" w:type="dxa"/>
              <w:bottom w:w="90" w:type="dxa"/>
              <w:end w:w="110" w:type="dxa"/>
            </w:tcMar>
          </w:tcPr>
          <w:p>
            <w:pPr>
              <w:jc w:val="left"/>
            </w:pPr>
            <w:r/>
            <w:r>
              <w:rPr>
                <w:rFonts w:ascii="Aptos" w:hAnsi="Aptos"/>
                <w:b w:val="0"/>
                <w:sz w:val="18"/>
              </w:rPr>
              <w:t>Managed account</w:t>
            </w:r>
          </w:p>
        </w:tc>
        <w:tc>
          <w:tcPr>
            <w:tcW w:type="dxa" w:w="2376"/>
            <w:vAlign w:val="center"/>
            <w:tcMar>
              <w:top w:w="90" w:type="dxa"/>
              <w:start w:w="110" w:type="dxa"/>
              <w:bottom w:w="90" w:type="dxa"/>
              <w:end w:w="110" w:type="dxa"/>
            </w:tcMar>
          </w:tcPr>
          <w:p>
            <w:pPr>
              <w:jc w:val="left"/>
            </w:pPr>
            <w:r/>
            <w:r>
              <w:rPr>
                <w:rFonts w:ascii="Aptos" w:hAnsi="Aptos"/>
                <w:b w:val="0"/>
                <w:sz w:val="18"/>
              </w:rPr>
              <w:t>RIT-Admin; new custom local admin</w:t>
            </w:r>
          </w:p>
        </w:tc>
        <w:tc>
          <w:tcPr>
            <w:tcW w:type="dxa" w:w="5904"/>
            <w:vAlign w:val="center"/>
            <w:tcMar>
              <w:top w:w="90" w:type="dxa"/>
              <w:start w:w="110" w:type="dxa"/>
              <w:bottom w:w="90" w:type="dxa"/>
              <w:end w:w="110" w:type="dxa"/>
            </w:tcMar>
          </w:tcPr>
          <w:p>
            <w:pPr>
              <w:jc w:val="left"/>
            </w:pPr>
            <w:r/>
            <w:r>
              <w:rPr>
                <w:rFonts w:ascii="Aptos" w:hAnsi="Aptos"/>
                <w:b w:val="0"/>
                <w:sz w:val="18"/>
              </w:rPr>
              <w:t>Creates and manages a dedicated support/recovery administrator account.</w:t>
            </w:r>
          </w:p>
        </w:tc>
      </w:tr>
      <w:tr>
        <w:tc>
          <w:tcPr>
            <w:tcW w:type="dxa" w:w="2376"/>
            <w:vAlign w:val="center"/>
            <w:tcMar>
              <w:top w:w="90" w:type="dxa"/>
              <w:start w:w="110" w:type="dxa"/>
              <w:bottom w:w="90" w:type="dxa"/>
              <w:end w:w="110" w:type="dxa"/>
            </w:tcMar>
          </w:tcPr>
          <w:p>
            <w:pPr>
              <w:jc w:val="left"/>
            </w:pPr>
            <w:r/>
            <w:r>
              <w:rPr>
                <w:rFonts w:ascii="Aptos" w:hAnsi="Aptos"/>
                <w:b w:val="0"/>
                <w:sz w:val="18"/>
              </w:rPr>
              <w:t>Password backup</w:t>
            </w:r>
          </w:p>
        </w:tc>
        <w:tc>
          <w:tcPr>
            <w:tcW w:type="dxa" w:w="2376"/>
            <w:vAlign w:val="center"/>
            <w:tcMar>
              <w:top w:w="90" w:type="dxa"/>
              <w:start w:w="110" w:type="dxa"/>
              <w:bottom w:w="90" w:type="dxa"/>
              <w:end w:w="110" w:type="dxa"/>
            </w:tcMar>
          </w:tcPr>
          <w:p>
            <w:pPr>
              <w:jc w:val="left"/>
            </w:pPr>
            <w:r/>
            <w:r>
              <w:rPr>
                <w:rFonts w:ascii="Aptos" w:hAnsi="Aptos"/>
                <w:b w:val="0"/>
                <w:sz w:val="18"/>
              </w:rPr>
              <w:t>Microsoft Entra ID</w:t>
            </w:r>
          </w:p>
        </w:tc>
        <w:tc>
          <w:tcPr>
            <w:tcW w:type="dxa" w:w="5904"/>
            <w:vAlign w:val="center"/>
            <w:tcMar>
              <w:top w:w="90" w:type="dxa"/>
              <w:start w:w="110" w:type="dxa"/>
              <w:bottom w:w="90" w:type="dxa"/>
              <w:end w:w="110" w:type="dxa"/>
            </w:tcMar>
          </w:tcPr>
          <w:p>
            <w:pPr>
              <w:jc w:val="left"/>
            </w:pPr>
            <w:r/>
            <w:r>
              <w:rPr>
                <w:rFonts w:ascii="Aptos" w:hAnsi="Aptos"/>
                <w:b w:val="0"/>
                <w:sz w:val="18"/>
              </w:rPr>
              <w:t>Stores the recoverable password in the cloud directory under role-based access controls.</w:t>
            </w:r>
          </w:p>
        </w:tc>
      </w:tr>
      <w:tr>
        <w:tc>
          <w:tcPr>
            <w:tcW w:type="dxa" w:w="2376"/>
            <w:vAlign w:val="center"/>
            <w:tcMar>
              <w:top w:w="90" w:type="dxa"/>
              <w:start w:w="110" w:type="dxa"/>
              <w:bottom w:w="90" w:type="dxa"/>
              <w:end w:w="110" w:type="dxa"/>
            </w:tcMar>
          </w:tcPr>
          <w:p>
            <w:pPr>
              <w:jc w:val="left"/>
            </w:pPr>
            <w:r/>
            <w:r>
              <w:rPr>
                <w:rFonts w:ascii="Aptos" w:hAnsi="Aptos"/>
                <w:b w:val="0"/>
                <w:sz w:val="18"/>
              </w:rPr>
              <w:t>Password strength</w:t>
            </w:r>
          </w:p>
        </w:tc>
        <w:tc>
          <w:tcPr>
            <w:tcW w:type="dxa" w:w="2376"/>
            <w:vAlign w:val="center"/>
            <w:tcMar>
              <w:top w:w="90" w:type="dxa"/>
              <w:start w:w="110" w:type="dxa"/>
              <w:bottom w:w="90" w:type="dxa"/>
              <w:end w:w="110" w:type="dxa"/>
            </w:tcMar>
          </w:tcPr>
          <w:p>
            <w:pPr>
              <w:jc w:val="left"/>
            </w:pPr>
            <w:r/>
            <w:r>
              <w:rPr>
                <w:rFonts w:ascii="Aptos" w:hAnsi="Aptos"/>
                <w:b w:val="0"/>
                <w:sz w:val="18"/>
              </w:rPr>
              <w:t>20 characters; upper/lower/numbers/symbols</w:t>
            </w:r>
          </w:p>
        </w:tc>
        <w:tc>
          <w:tcPr>
            <w:tcW w:type="dxa" w:w="5904"/>
            <w:vAlign w:val="center"/>
            <w:tcMar>
              <w:top w:w="90" w:type="dxa"/>
              <w:start w:w="110" w:type="dxa"/>
              <w:bottom w:w="90" w:type="dxa"/>
              <w:end w:w="110" w:type="dxa"/>
            </w:tcMar>
          </w:tcPr>
          <w:p>
            <w:pPr>
              <w:jc w:val="left"/>
            </w:pPr>
            <w:r/>
            <w:r>
              <w:rPr>
                <w:rFonts w:ascii="Aptos" w:hAnsi="Aptos"/>
                <w:b w:val="0"/>
                <w:sz w:val="18"/>
              </w:rPr>
              <w:t>Provides a high-entropy local administrator credential.</w:t>
            </w:r>
          </w:p>
        </w:tc>
      </w:tr>
      <w:tr>
        <w:tc>
          <w:tcPr>
            <w:tcW w:type="dxa" w:w="2376"/>
            <w:vAlign w:val="center"/>
            <w:tcMar>
              <w:top w:w="90" w:type="dxa"/>
              <w:start w:w="110" w:type="dxa"/>
              <w:bottom w:w="90" w:type="dxa"/>
              <w:end w:w="110" w:type="dxa"/>
            </w:tcMar>
          </w:tcPr>
          <w:p>
            <w:pPr>
              <w:jc w:val="left"/>
            </w:pPr>
            <w:r/>
            <w:r>
              <w:rPr>
                <w:rFonts w:ascii="Aptos" w:hAnsi="Aptos"/>
                <w:b w:val="0"/>
                <w:sz w:val="18"/>
              </w:rPr>
              <w:t>Scheduled password age</w:t>
            </w:r>
          </w:p>
        </w:tc>
        <w:tc>
          <w:tcPr>
            <w:tcW w:type="dxa" w:w="2376"/>
            <w:vAlign w:val="center"/>
            <w:tcMar>
              <w:top w:w="90" w:type="dxa"/>
              <w:start w:w="110" w:type="dxa"/>
              <w:bottom w:w="90" w:type="dxa"/>
              <w:end w:w="110" w:type="dxa"/>
            </w:tcMar>
          </w:tcPr>
          <w:p>
            <w:pPr>
              <w:jc w:val="left"/>
            </w:pPr>
            <w:r/>
            <w:r>
              <w:rPr>
                <w:rFonts w:ascii="Aptos" w:hAnsi="Aptos"/>
                <w:b w:val="0"/>
                <w:sz w:val="18"/>
              </w:rPr>
              <w:t>365 days</w:t>
            </w:r>
          </w:p>
        </w:tc>
        <w:tc>
          <w:tcPr>
            <w:tcW w:type="dxa" w:w="5904"/>
            <w:vAlign w:val="center"/>
            <w:tcMar>
              <w:top w:w="90" w:type="dxa"/>
              <w:start w:w="110" w:type="dxa"/>
              <w:bottom w:w="90" w:type="dxa"/>
              <w:end w:w="110" w:type="dxa"/>
            </w:tcMar>
          </w:tcPr>
          <w:p>
            <w:pPr>
              <w:jc w:val="left"/>
            </w:pPr>
            <w:r/>
            <w:r>
              <w:rPr>
                <w:rFonts w:ascii="Aptos" w:hAnsi="Aptos"/>
                <w:b w:val="0"/>
                <w:sz w:val="18"/>
              </w:rPr>
              <w:t>Rotates an unused credential on a long maximum schedule.</w:t>
            </w:r>
          </w:p>
        </w:tc>
      </w:tr>
      <w:tr>
        <w:tc>
          <w:tcPr>
            <w:tcW w:type="dxa" w:w="2376"/>
            <w:vAlign w:val="center"/>
            <w:tcMar>
              <w:top w:w="90" w:type="dxa"/>
              <w:start w:w="110" w:type="dxa"/>
              <w:bottom w:w="90" w:type="dxa"/>
              <w:end w:w="110" w:type="dxa"/>
            </w:tcMar>
          </w:tcPr>
          <w:p>
            <w:pPr>
              <w:jc w:val="left"/>
            </w:pPr>
            <w:r/>
            <w:r>
              <w:rPr>
                <w:rFonts w:ascii="Aptos" w:hAnsi="Aptos"/>
                <w:b w:val="0"/>
                <w:sz w:val="18"/>
              </w:rPr>
              <w:t>Post-use reset</w:t>
            </w:r>
          </w:p>
        </w:tc>
        <w:tc>
          <w:tcPr>
            <w:tcW w:type="dxa" w:w="2376"/>
            <w:vAlign w:val="center"/>
            <w:tcMar>
              <w:top w:w="90" w:type="dxa"/>
              <w:start w:w="110" w:type="dxa"/>
              <w:bottom w:w="90" w:type="dxa"/>
              <w:end w:w="110" w:type="dxa"/>
            </w:tcMar>
          </w:tcPr>
          <w:p>
            <w:pPr>
              <w:jc w:val="left"/>
            </w:pPr>
            <w:r/>
            <w:r>
              <w:rPr>
                <w:rFonts w:ascii="Aptos" w:hAnsi="Aptos"/>
                <w:b w:val="0"/>
                <w:sz w:val="18"/>
              </w:rPr>
              <w:t>8 hours; reset password and sign out</w:t>
            </w:r>
          </w:p>
        </w:tc>
        <w:tc>
          <w:tcPr>
            <w:tcW w:type="dxa" w:w="5904"/>
            <w:vAlign w:val="center"/>
            <w:tcMar>
              <w:top w:w="90" w:type="dxa"/>
              <w:start w:w="110" w:type="dxa"/>
              <w:bottom w:w="90" w:type="dxa"/>
              <w:end w:w="110" w:type="dxa"/>
            </w:tcMar>
          </w:tcPr>
          <w:p>
            <w:pPr>
              <w:jc w:val="left"/>
            </w:pPr>
            <w:r/>
            <w:r>
              <w:rPr>
                <w:rFonts w:ascii="Aptos" w:hAnsi="Aptos"/>
                <w:b w:val="0"/>
                <w:sz w:val="18"/>
              </w:rPr>
              <w:t>Shortens exposure after the managed credential is actually used.</w:t>
            </w:r>
          </w:p>
        </w:tc>
      </w:tr>
      <w:tr>
        <w:tc>
          <w:tcPr>
            <w:tcW w:type="dxa" w:w="2376"/>
            <w:vAlign w:val="center"/>
            <w:tcMar>
              <w:top w:w="90" w:type="dxa"/>
              <w:start w:w="110" w:type="dxa"/>
              <w:bottom w:w="90" w:type="dxa"/>
              <w:end w:w="110" w:type="dxa"/>
            </w:tcMar>
          </w:tcPr>
          <w:p>
            <w:pPr>
              <w:jc w:val="left"/>
            </w:pPr>
            <w:r/>
            <w:r>
              <w:rPr>
                <w:rFonts w:ascii="Aptos" w:hAnsi="Aptos"/>
                <w:b w:val="0"/>
                <w:sz w:val="18"/>
              </w:rPr>
              <w:t>Account name randomization</w:t>
            </w:r>
          </w:p>
        </w:tc>
        <w:tc>
          <w:tcPr>
            <w:tcW w:type="dxa" w:w="2376"/>
            <w:vAlign w:val="center"/>
            <w:tcMar>
              <w:top w:w="90" w:type="dxa"/>
              <w:start w:w="110" w:type="dxa"/>
              <w:bottom w:w="90" w:type="dxa"/>
              <w:end w:w="110" w:type="dxa"/>
            </w:tcMar>
          </w:tcPr>
          <w:p>
            <w:pPr>
              <w:jc w:val="left"/>
            </w:pPr>
            <w:r/>
            <w:r>
              <w:rPr>
                <w:rFonts w:ascii="Aptos" w:hAnsi="Aptos"/>
                <w:b w:val="0"/>
                <w:sz w:val="18"/>
              </w:rPr>
              <w:t>Disabled</w:t>
            </w:r>
          </w:p>
        </w:tc>
        <w:tc>
          <w:tcPr>
            <w:tcW w:type="dxa" w:w="5904"/>
            <w:vAlign w:val="center"/>
            <w:tcMar>
              <w:top w:w="90" w:type="dxa"/>
              <w:start w:w="110" w:type="dxa"/>
              <w:bottom w:w="90" w:type="dxa"/>
              <w:end w:w="110" w:type="dxa"/>
            </w:tcMar>
          </w:tcPr>
          <w:p>
            <w:pPr>
              <w:jc w:val="left"/>
            </w:pPr>
            <w:r/>
            <w:r>
              <w:rPr>
                <w:rFonts w:ascii="Aptos" w:hAnsi="Aptos"/>
                <w:b w:val="0"/>
                <w:sz w:val="18"/>
              </w:rPr>
              <w:t>Keeps the support account name consistently RIT-Admin.</w:t>
            </w:r>
          </w:p>
        </w:tc>
      </w:tr>
    </w:tbl>
    <w:p>
      <w:pPr>
        <w:pStyle w:val="Heading1"/>
        <w:spacing w:before="160" w:after="60"/>
      </w:pPr>
      <w:r>
        <w:t>How It Works</w:t>
      </w:r>
    </w:p>
    <w:p>
      <w:r>
        <w:t>The script deploys Windows LAPS CSP settings through a Windows custom configuration policy. Automatic account management is enabled and targets a new custom account named RIT-Admin. LAPS enables the account, manages its password, backs the password up to Microsoft Entra ID, and applies an eight-hour post-authentication action that resets the password and signs out sessions using the account. These automatic account-management settings require Windows 11 24H2 or later.</w:t>
      </w:r>
    </w:p>
    <w:p>
      <w:pPr>
        <w:pStyle w:val="Heading1"/>
        <w:spacing w:before="160" w:after="60"/>
      </w:pPr>
      <w:r>
        <w:t>Why This Policy Is Important</w:t>
      </w:r>
    </w:p>
    <w:p>
      <w:r>
        <w:t>Shared or static local administrator passwords create significant lateral-movement and recovery risk. Windows LAPS replaces that pattern with a centrally recoverable, device-managed secret that can be rotated automatically. The post-authentication reset further reduces the period in which a retrieved administrative password remains useful after support activity.</w:t>
      </w:r>
    </w:p>
    <w:p>
      <w:pPr>
        <w:pStyle w:val="Heading1"/>
        <w:spacing w:before="160" w:after="60"/>
      </w:pPr>
      <w:r>
        <w:t>User Impact</w:t>
      </w:r>
    </w:p>
    <w:p>
      <w:r>
        <w:t>Expected impact: Low for standard users. The RIT-Admin account is intended for authorized support and recovery use. When that account is used, Windows LAPS resets the password after the configured eight-hour grace period and signs out interactive and SMB sessions using the managed account.</w:t>
      </w:r>
    </w:p>
    <w:p>
      <w:pPr>
        <w:pStyle w:val="Heading1"/>
        <w:spacing w:before="160" w:after="60"/>
      </w:pPr>
      <w:r>
        <w:t>Security Posture</w:t>
      </w:r>
    </w:p>
    <w:p>
      <w:r>
        <w:t>High-value privileged-access control. This substantially improves local administrator credential hygiene compared with static or shared local admin passwords.</w:t>
      </w:r>
    </w:p>
    <w:p>
      <w:pPr>
        <w:pStyle w:val="Heading1"/>
        <w:spacing w:before="160" w:after="60"/>
      </w:pPr>
      <w:r>
        <w:t>Deployment and Assignment</w:t>
      </w:r>
    </w:p>
    <w:p>
      <w:r>
        <w:t>The script does not assign the policy automatically. New policies remain unassigned and existing assignments are preserved. Before assignment, technicians should confirm Windows 11 24H2 or later, Intune enrollment, supported Entra/hybrid join state, Windows LAPS enablement in the tenant, and authorized processes for retrieving LAPS passwords.</w:t>
      </w:r>
    </w:p>
    <w:p>
      <w:pPr>
        <w:pStyle w:val="Heading1"/>
        <w:spacing w:before="160" w:after="60"/>
      </w:pPr>
      <w:r>
        <w:t>Approval Recommendation</w:t>
      </w:r>
    </w:p>
    <w:p>
      <w:r>
        <w:t>Recommended for approval as the standard managed local-administrator model, subject to explicit security-owner acceptance of the 365-day scheduled password age and validation of Microsoft Entra-backed LAPS in the target cloud/tenant.</w:t>
      </w:r>
    </w:p>
    <w:p>
      <w:pPr>
        <w:pStyle w:val="Heading1"/>
        <w:spacing w:before="160" w:after="60"/>
      </w:pPr>
      <w:r>
        <w:t>Implementation Notes / Exceptions</w:t>
      </w:r>
    </w:p>
    <w:tbl>
      <w:tblPr>
        <w:tblW w:type="auto" w:w="0"/>
        <w:tblLook w:firstColumn="1" w:firstRow="1" w:lastColumn="0" w:lastRow="0" w:noHBand="0" w:noVBand="1" w:val="04A0"/>
      </w:tblPr>
      <w:tblGrid>
        <w:gridCol w:w="10368"/>
      </w:tblGrid>
      <w:tr>
        <w:tc>
          <w:tcPr>
            <w:tcW w:type="dxa" w:w="10368"/>
            <w:shd w:fill="FFF2CC"/>
            <w:vAlign w:val="center"/>
            <w:tcMar>
              <w:top w:w="90" w:type="dxa"/>
              <w:start w:w="110" w:type="dxa"/>
              <w:bottom w:w="90" w:type="dxa"/>
              <w:end w:w="110" w:type="dxa"/>
            </w:tcMar>
          </w:tcPr>
          <w:p>
            <w:pPr>
              <w:jc w:val="left"/>
            </w:pPr>
            <w:r/>
            <w:r>
              <w:rPr>
                <w:rFonts w:ascii="Aptos" w:hAnsi="Aptos"/>
                <w:b w:val="0"/>
                <w:sz w:val="18"/>
              </w:rPr>
              <w:t>The 365-day scheduled password age is much longer than the Windows LAPS default of 30 days. The eight-hour post-authentication reset strongly limits exposure after actual use, but an unused password could otherwise remain valid for up to a year. A shorter scheduled age should be considered unless there is a documented operational reason for 365 days. Automatic account management requires Windows 11 24H2 or later. The fixed RIT-Admin account name is predictable by design; password secrecy and rotation are therefore the primary protections.</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Executive Policy Overview | Resilient 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