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Executive Policy Overview</w:t>
      </w:r>
    </w:p>
    <w:p>
      <w:pPr>
        <w:spacing w:after="140"/>
      </w:pPr>
      <w:r>
        <w:rPr>
          <w:rFonts w:ascii="Aptos Display" w:hAnsi="Aptos Display"/>
          <w:b/>
          <w:color w:val="2F5597"/>
          <w:sz w:val="30"/>
        </w:rPr>
        <w:t>RCI-iOS Version Compliance Policy</w:t>
      </w:r>
    </w:p>
    <w:tbl>
      <w:tblPr>
        <w:tblW w:type="auto" w:w="0"/>
        <w:jc w:val="left"/>
        <w:tblLayout w:type="fixed"/>
        <w:tblLook w:firstColumn="1" w:firstRow="1" w:lastColumn="0" w:lastRow="0" w:noHBand="0" w:noVBand="1" w:val="04A0"/>
      </w:tblPr>
      <w:tblGrid>
        <w:gridCol w:w="2232"/>
        <w:gridCol w:w="7848"/>
      </w:tblGrid>
      <w:tr>
        <w:tc>
          <w:tcPr>
            <w:tcW w:type="dxa" w:w="5141"/>
            <w:shd w:fill="EEF5FB"/>
            <w:tcMar>
              <w:top w:w="90" w:type="dxa"/>
              <w:start w:w="90" w:type="dxa"/>
              <w:bottom w:w="90" w:type="dxa"/>
              <w:end w:w="90" w:type="dxa"/>
            </w:tcMar>
            <w:vAlign w:val="center"/>
          </w:tcPr>
          <w:p>
            <w:r>
              <w:rPr>
                <w:b/>
                <w:color w:val="17365D"/>
              </w:rPr>
              <w:t>Platform</w:t>
            </w:r>
          </w:p>
        </w:tc>
        <w:tc>
          <w:tcPr>
            <w:tcW w:type="dxa" w:w="5141"/>
            <w:tcMar>
              <w:top w:w="90" w:type="dxa"/>
              <w:start w:w="90" w:type="dxa"/>
              <w:bottom w:w="90" w:type="dxa"/>
              <w:end w:w="90" w:type="dxa"/>
            </w:tcMar>
            <w:vAlign w:val="center"/>
          </w:tcPr>
          <w:p>
            <w:r>
              <w:t>iOS/iPadOS</w:t>
            </w:r>
          </w:p>
        </w:tc>
      </w:tr>
      <w:tr>
        <w:tc>
          <w:tcPr>
            <w:tcW w:type="dxa" w:w="5141"/>
            <w:shd w:fill="EEF5FB"/>
            <w:tcMar>
              <w:top w:w="90" w:type="dxa"/>
              <w:start w:w="90" w:type="dxa"/>
              <w:bottom w:w="90" w:type="dxa"/>
              <w:end w:w="90" w:type="dxa"/>
            </w:tcMar>
            <w:vAlign w:val="center"/>
          </w:tcPr>
          <w:p>
            <w:r>
              <w:rPr>
                <w:b/>
                <w:color w:val="17365D"/>
              </w:rPr>
              <w:t>Cloud</w:t>
            </w:r>
          </w:p>
        </w:tc>
        <w:tc>
          <w:tcPr>
            <w:tcW w:type="dxa" w:w="5141"/>
            <w:tcMar>
              <w:top w:w="90" w:type="dxa"/>
              <w:start w:w="90" w:type="dxa"/>
              <w:bottom w:w="90" w:type="dxa"/>
              <w:end w:w="90" w:type="dxa"/>
            </w:tcMar>
            <w:vAlign w:val="center"/>
          </w:tcPr>
          <w:p>
            <w:r>
              <w:t>Microsoft 365 GCC High</w:t>
            </w:r>
          </w:p>
        </w:tc>
      </w:tr>
      <w:tr>
        <w:tc>
          <w:tcPr>
            <w:tcW w:type="dxa" w:w="5141"/>
            <w:shd w:fill="EEF5FB"/>
            <w:tcMar>
              <w:top w:w="90" w:type="dxa"/>
              <w:start w:w="90" w:type="dxa"/>
              <w:bottom w:w="90" w:type="dxa"/>
              <w:end w:w="90" w:type="dxa"/>
            </w:tcMar>
            <w:vAlign w:val="center"/>
          </w:tcPr>
          <w:p>
            <w:r>
              <w:rPr>
                <w:b/>
                <w:color w:val="17365D"/>
              </w:rPr>
              <w:t>Policy type</w:t>
            </w:r>
          </w:p>
        </w:tc>
        <w:tc>
          <w:tcPr>
            <w:tcW w:type="dxa" w:w="5141"/>
            <w:tcMar>
              <w:top w:w="90" w:type="dxa"/>
              <w:start w:w="90" w:type="dxa"/>
              <w:bottom w:w="90" w:type="dxa"/>
              <w:end w:w="90" w:type="dxa"/>
            </w:tcMar>
            <w:vAlign w:val="center"/>
          </w:tcPr>
          <w:p>
            <w:r>
              <w:t>Device Compliance</w:t>
            </w:r>
          </w:p>
        </w:tc>
      </w:tr>
      <w:tr>
        <w:tc>
          <w:tcPr>
            <w:tcW w:type="dxa" w:w="5141"/>
            <w:shd w:fill="EEF5FB"/>
            <w:tcMar>
              <w:top w:w="90" w:type="dxa"/>
              <w:start w:w="90" w:type="dxa"/>
              <w:bottom w:w="90" w:type="dxa"/>
              <w:end w:w="90" w:type="dxa"/>
            </w:tcMar>
            <w:vAlign w:val="center"/>
          </w:tcPr>
          <w:p>
            <w:r>
              <w:rPr>
                <w:b/>
                <w:color w:val="17365D"/>
              </w:rPr>
              <w:t>Deployment state</w:t>
            </w:r>
          </w:p>
        </w:tc>
        <w:tc>
          <w:tcPr>
            <w:tcW w:type="dxa" w:w="5141"/>
            <w:tcMar>
              <w:top w:w="90" w:type="dxa"/>
              <w:start w:w="90" w:type="dxa"/>
              <w:bottom w:w="90" w:type="dxa"/>
              <w:end w:w="90" w:type="dxa"/>
            </w:tcMar>
            <w:vAlign w:val="center"/>
          </w:tcPr>
          <w:p>
            <w:r>
              <w:t>New policy unassigned; existing assignments preserved on update</w:t>
            </w:r>
          </w:p>
        </w:tc>
      </w:tr>
    </w:tbl>
    <w:p>
      <w:pPr>
        <w:spacing w:after="0"/>
      </w:pPr>
    </w:p>
    <w:tbl>
      <w:tblPr>
        <w:tblW w:type="auto" w:w="0"/>
        <w:jc w:val="center"/>
        <w:tblLayout w:type="fixed"/>
        <w:tblLook w:firstColumn="1" w:firstRow="1" w:lastColumn="0" w:lastRow="0" w:noHBand="0" w:noVBand="1" w:val="04A0"/>
      </w:tblPr>
      <w:tblGrid>
        <w:gridCol w:w="10080"/>
      </w:tblGrid>
      <w:tr>
        <w:tc>
          <w:tcPr>
            <w:tcW w:type="dxa" w:w="10282"/>
            <w:shd w:fill="FFF2CC"/>
            <w:tcMar>
              <w:top w:w="120" w:type="dxa"/>
              <w:start w:w="140" w:type="dxa"/>
              <w:bottom w:w="120" w:type="dxa"/>
              <w:end w:w="140" w:type="dxa"/>
            </w:tcMar>
            <w:vAlign w:val="center"/>
          </w:tcPr>
          <w:p>
            <w:pPr>
              <w:spacing w:after="0"/>
            </w:pPr>
            <w:r>
              <w:rPr>
                <w:b/>
                <w:color w:val="17365D"/>
              </w:rPr>
              <w:t xml:space="preserve">Approval posture  </w:t>
            </w:r>
            <w:r>
              <w:t>Approve with implementation note</w:t>
            </w:r>
          </w:p>
        </w:tc>
      </w:tr>
    </w:tbl>
    <w:p>
      <w:pPr>
        <w:spacing w:after="0"/>
      </w:pPr>
    </w:p>
    <w:p>
      <w:pPr>
        <w:pStyle w:val="Heading1"/>
      </w:pPr>
      <w:r>
        <w:t>1. Executive Summary</w:t>
      </w:r>
    </w:p>
    <w:p>
      <w:r>
        <w:t>This policy provides a narrow iOS/iPadOS operating-system currency check. It requires a minimum OS version of 26.5 and leaves passcode, jailbreak, threat-protection, managed-email, and other compliance controls to separate policies.</w:t>
      </w:r>
    </w:p>
    <w:p>
      <w:pPr>
        <w:pStyle w:val="Heading1"/>
      </w:pPr>
      <w:r>
        <w:t>2. What the Policy Does</w:t>
      </w:r>
    </w:p>
    <w:tbl>
      <w:tblPr>
        <w:tblW w:type="auto" w:w="0"/>
        <w:jc w:val="center"/>
        <w:tblLayout w:type="fixed"/>
        <w:tblLook w:firstColumn="1" w:firstRow="1" w:lastColumn="0" w:lastRow="0" w:noHBand="0" w:noVBand="1" w:val="04A0"/>
      </w:tblPr>
      <w:tblGrid>
        <w:gridCol w:w="2880"/>
        <w:gridCol w:w="2376"/>
        <w:gridCol w:w="4824"/>
      </w:tblGrid>
      <w:tr>
        <w:tc>
          <w:tcPr>
            <w:tcW w:type="dxa" w:w="3427"/>
            <w:shd w:fill="D9EAF7"/>
            <w:tcMar>
              <w:top w:w="90" w:type="dxa"/>
              <w:start w:w="90" w:type="dxa"/>
              <w:bottom w:w="90" w:type="dxa"/>
              <w:end w:w="90" w:type="dxa"/>
            </w:tcMar>
            <w:vAlign w:val="center"/>
          </w:tcPr>
          <w:p>
            <w:r>
              <w:rPr>
                <w:b/>
                <w:color w:val="17365D"/>
              </w:rPr>
              <w:t>Control</w:t>
            </w:r>
          </w:p>
        </w:tc>
        <w:tc>
          <w:tcPr>
            <w:tcW w:type="dxa" w:w="3427"/>
            <w:shd w:fill="D9EAF7"/>
            <w:tcMar>
              <w:top w:w="90" w:type="dxa"/>
              <w:start w:w="90" w:type="dxa"/>
              <w:bottom w:w="90" w:type="dxa"/>
              <w:end w:w="90" w:type="dxa"/>
            </w:tcMar>
            <w:vAlign w:val="center"/>
          </w:tcPr>
          <w:p>
            <w:r>
              <w:rPr>
                <w:b/>
                <w:color w:val="17365D"/>
              </w:rPr>
              <w:t>Configuration</w:t>
            </w:r>
          </w:p>
        </w:tc>
        <w:tc>
          <w:tcPr>
            <w:tcW w:type="dxa" w:w="3427"/>
            <w:shd w:fill="D9EAF7"/>
            <w:tcMar>
              <w:top w:w="90" w:type="dxa"/>
              <w:start w:w="90" w:type="dxa"/>
              <w:bottom w:w="90" w:type="dxa"/>
              <w:end w:w="90" w:type="dxa"/>
            </w:tcMar>
            <w:vAlign w:val="center"/>
          </w:tcPr>
          <w:p>
            <w:r>
              <w:rPr>
                <w:b/>
                <w:color w:val="17365D"/>
              </w:rPr>
              <w:t>Business Effect</w:t>
            </w:r>
          </w:p>
        </w:tc>
      </w:tr>
      <w:tr>
        <w:tc>
          <w:tcPr>
            <w:tcW w:type="dxa" w:w="2880"/>
            <w:tcMar>
              <w:top w:w="90" w:type="dxa"/>
              <w:start w:w="90" w:type="dxa"/>
              <w:bottom w:w="90" w:type="dxa"/>
              <w:end w:w="90" w:type="dxa"/>
            </w:tcMar>
            <w:vAlign w:val="center"/>
          </w:tcPr>
          <w:p>
            <w:r>
              <w:t>Minimum OS version</w:t>
            </w:r>
          </w:p>
        </w:tc>
        <w:tc>
          <w:tcPr>
            <w:tcW w:type="dxa" w:w="2376"/>
            <w:tcMar>
              <w:top w:w="90" w:type="dxa"/>
              <w:start w:w="90" w:type="dxa"/>
              <w:bottom w:w="90" w:type="dxa"/>
              <w:end w:w="90" w:type="dxa"/>
            </w:tcMar>
            <w:vAlign w:val="center"/>
          </w:tcPr>
          <w:p>
            <w:r>
              <w:t>26.5</w:t>
            </w:r>
          </w:p>
        </w:tc>
        <w:tc>
          <w:tcPr>
            <w:tcW w:type="dxa" w:w="4824"/>
            <w:tcMar>
              <w:top w:w="90" w:type="dxa"/>
              <w:start w:w="90" w:type="dxa"/>
              <w:bottom w:w="90" w:type="dxa"/>
              <w:end w:w="90" w:type="dxa"/>
            </w:tcMar>
            <w:vAlign w:val="center"/>
          </w:tcPr>
          <w:p>
            <w:r>
              <w:t>Devices below the configured OS version are outside the intended compliance baseline</w:t>
            </w:r>
          </w:p>
        </w:tc>
      </w:tr>
      <w:tr>
        <w:tc>
          <w:tcPr>
            <w:tcW w:type="dxa" w:w="2880"/>
            <w:tcMar>
              <w:top w:w="90" w:type="dxa"/>
              <w:start w:w="90" w:type="dxa"/>
              <w:bottom w:w="90" w:type="dxa"/>
              <w:end w:w="90" w:type="dxa"/>
            </w:tcMar>
            <w:vAlign w:val="center"/>
          </w:tcPr>
          <w:p>
            <w:r>
              <w:t>Passcode</w:t>
            </w:r>
          </w:p>
        </w:tc>
        <w:tc>
          <w:tcPr>
            <w:tcW w:type="dxa" w:w="2376"/>
            <w:tcMar>
              <w:top w:w="90" w:type="dxa"/>
              <w:start w:w="90" w:type="dxa"/>
              <w:bottom w:w="90" w:type="dxa"/>
              <w:end w:w="90" w:type="dxa"/>
            </w:tcMar>
            <w:vAlign w:val="center"/>
          </w:tcPr>
          <w:p>
            <w:r>
              <w:t>Not evaluated</w:t>
            </w:r>
          </w:p>
        </w:tc>
        <w:tc>
          <w:tcPr>
            <w:tcW w:type="dxa" w:w="4824"/>
            <w:tcMar>
              <w:top w:w="90" w:type="dxa"/>
              <w:start w:w="90" w:type="dxa"/>
              <w:bottom w:w="90" w:type="dxa"/>
              <w:end w:w="90" w:type="dxa"/>
            </w:tcMar>
            <w:vAlign w:val="center"/>
          </w:tcPr>
          <w:p>
            <w:r>
              <w:t>Password controls are handled by the separate iOS screen-lock/password compliance policy</w:t>
            </w:r>
          </w:p>
        </w:tc>
      </w:tr>
      <w:tr>
        <w:tc>
          <w:tcPr>
            <w:tcW w:type="dxa" w:w="2880"/>
            <w:tcMar>
              <w:top w:w="90" w:type="dxa"/>
              <w:start w:w="90" w:type="dxa"/>
              <w:bottom w:w="90" w:type="dxa"/>
              <w:end w:w="90" w:type="dxa"/>
            </w:tcMar>
            <w:vAlign w:val="center"/>
          </w:tcPr>
          <w:p>
            <w:r>
              <w:t>Jailbreak</w:t>
            </w:r>
          </w:p>
        </w:tc>
        <w:tc>
          <w:tcPr>
            <w:tcW w:type="dxa" w:w="2376"/>
            <w:tcMar>
              <w:top w:w="90" w:type="dxa"/>
              <w:start w:w="90" w:type="dxa"/>
              <w:bottom w:w="90" w:type="dxa"/>
              <w:end w:w="90" w:type="dxa"/>
            </w:tcMar>
            <w:vAlign w:val="center"/>
          </w:tcPr>
          <w:p>
            <w:r>
              <w:t>Not evaluated</w:t>
            </w:r>
          </w:p>
        </w:tc>
        <w:tc>
          <w:tcPr>
            <w:tcW w:type="dxa" w:w="4824"/>
            <w:tcMar>
              <w:top w:w="90" w:type="dxa"/>
              <w:start w:w="90" w:type="dxa"/>
              <w:bottom w:w="90" w:type="dxa"/>
              <w:end w:w="90" w:type="dxa"/>
            </w:tcMar>
            <w:vAlign w:val="center"/>
          </w:tcPr>
          <w:p>
            <w:r>
              <w:t>This policy is narrowly focused on OS version</w:t>
            </w:r>
          </w:p>
        </w:tc>
      </w:tr>
      <w:tr>
        <w:tc>
          <w:tcPr>
            <w:tcW w:type="dxa" w:w="2880"/>
            <w:tcMar>
              <w:top w:w="90" w:type="dxa"/>
              <w:start w:w="90" w:type="dxa"/>
              <w:bottom w:w="90" w:type="dxa"/>
              <w:end w:w="90" w:type="dxa"/>
            </w:tcMar>
            <w:vAlign w:val="center"/>
          </w:tcPr>
          <w:p>
            <w:r>
              <w:t>Managed email</w:t>
            </w:r>
          </w:p>
        </w:tc>
        <w:tc>
          <w:tcPr>
            <w:tcW w:type="dxa" w:w="2376"/>
            <w:tcMar>
              <w:top w:w="90" w:type="dxa"/>
              <w:start w:w="90" w:type="dxa"/>
              <w:bottom w:w="90" w:type="dxa"/>
              <w:end w:w="90" w:type="dxa"/>
            </w:tcMar>
            <w:vAlign w:val="center"/>
          </w:tcPr>
          <w:p>
            <w:r>
              <w:t>Not required</w:t>
            </w:r>
          </w:p>
        </w:tc>
        <w:tc>
          <w:tcPr>
            <w:tcW w:type="dxa" w:w="4824"/>
            <w:tcMar>
              <w:top w:w="90" w:type="dxa"/>
              <w:start w:w="90" w:type="dxa"/>
              <w:bottom w:w="90" w:type="dxa"/>
              <w:end w:w="90" w:type="dxa"/>
            </w:tcMar>
            <w:vAlign w:val="center"/>
          </w:tcPr>
          <w:p>
            <w:r>
              <w:t>Email-profile presence is outside this policy</w:t>
            </w:r>
          </w:p>
        </w:tc>
      </w:tr>
    </w:tbl>
    <w:p>
      <w:pPr>
        <w:pStyle w:val="Heading1"/>
      </w:pPr>
      <w:r>
        <w:t>3. How It Works</w:t>
      </w:r>
    </w:p>
    <w:p>
      <w:r>
        <w:t>The policy creates an iOS compliance object with osMinimumVersion = 26.5. Other major compliance fields in this exported profile remain unset or false. The script uses exact-name create/update behavior and does not call any assignment endpoint.</w:t>
      </w:r>
    </w:p>
    <w:p>
      <w:pPr>
        <w:pStyle w:val="Heading1"/>
      </w:pPr>
      <w:r>
        <w:t>4. Why This Policy Is Important</w:t>
      </w:r>
    </w:p>
    <w:p>
      <w:r>
        <w:t>Keeping supported mobile operating systems above a defined minimum reduces exposure to older platform builds and creates a measurable standard for Conditional Access or other compliance-dependent controls.</w:t>
      </w:r>
    </w:p>
    <w:p>
      <w:pPr>
        <w:pStyle w:val="Heading1"/>
      </w:pPr>
      <w:r>
        <w:t>5. User Impact</w:t>
      </w:r>
    </w:p>
    <w:tbl>
      <w:tblPr>
        <w:tblW w:type="auto" w:w="0"/>
        <w:jc w:val="center"/>
        <w:tblLayout w:type="fixed"/>
        <w:tblLook w:firstColumn="1" w:firstRow="1" w:lastColumn="0" w:lastRow="0" w:noHBand="0" w:noVBand="1" w:val="04A0"/>
      </w:tblPr>
      <w:tblGrid>
        <w:gridCol w:w="10080"/>
      </w:tblGrid>
      <w:tr>
        <w:tc>
          <w:tcPr>
            <w:tcW w:type="dxa" w:w="10282"/>
            <w:shd w:fill="EEF5FB"/>
            <w:tcMar>
              <w:top w:w="120" w:type="dxa"/>
              <w:start w:w="140" w:type="dxa"/>
              <w:bottom w:w="120" w:type="dxa"/>
              <w:end w:w="140" w:type="dxa"/>
            </w:tcMar>
            <w:vAlign w:val="center"/>
          </w:tcPr>
          <w:p>
            <w:pPr>
              <w:spacing w:after="0"/>
            </w:pPr>
            <w:r>
              <w:rPr>
                <w:b/>
                <w:color w:val="17365D"/>
              </w:rPr>
              <w:t xml:space="preserve">Moderate  </w:t>
            </w:r>
            <w:r>
              <w:t>Devices running an OS version below 26.5 may be reported noncompliant after assignment. Devices already at or above the configured version should see no direct user workflow change from this policy.</w:t>
            </w:r>
          </w:p>
        </w:tc>
      </w:tr>
    </w:tbl>
    <w:p>
      <w:pPr>
        <w:spacing w:after="0"/>
      </w:pPr>
    </w:p>
    <w:p>
      <w:pPr>
        <w:pStyle w:val="Heading1"/>
      </w:pPr>
      <w:r>
        <w:t>6. Security Posture</w:t>
      </w:r>
    </w:p>
    <w:p>
      <w:r>
        <w:t>OS currency / platform hygiene control.</w:t>
      </w:r>
    </w:p>
    <w:p>
      <w:pPr>
        <w:pStyle w:val="Heading1"/>
      </w:pPr>
      <w:r>
        <w:t>7. Deployment and Assignment</w:t>
      </w:r>
    </w:p>
    <w:p>
      <w:r>
        <w:t>The deployment script does not create user, device, or group assignments. A newly created policy remains unassigned. When the script updates an existing policy, it changes the policy object only and therefore preserves existing assignments. Technician-controlled assignment should follow client scope, licensing, platform eligibility, and rollout requirements.</w:t>
      </w:r>
    </w:p>
    <w:p>
      <w:pPr>
        <w:pStyle w:val="Heading1"/>
      </w:pPr>
      <w:r>
        <w:t>8. Approval Recommendation</w:t>
      </w:r>
    </w:p>
    <w:p>
      <w:r>
        <w:t>Recommended for approval provided 26.5 is the intended minimum for the client population at deployment time. The threshold should be maintained as the supported iOS/iPadOS baseline changes.</w:t>
      </w:r>
    </w:p>
    <w:p>
      <w:pPr>
        <w:pStyle w:val="Heading1"/>
      </w:pPr>
      <w:r>
        <w:t>9. Implementation Note / Exception</w:t>
      </w:r>
    </w:p>
    <w:tbl>
      <w:tblPr>
        <w:tblW w:type="auto" w:w="0"/>
        <w:jc w:val="center"/>
        <w:tblLayout w:type="fixed"/>
        <w:tblLook w:firstColumn="1" w:firstRow="1" w:lastColumn="0" w:lastRow="0" w:noHBand="0" w:noVBand="1" w:val="04A0"/>
      </w:tblPr>
      <w:tblGrid>
        <w:gridCol w:w="10080"/>
      </w:tblGrid>
      <w:tr>
        <w:tc>
          <w:tcPr>
            <w:tcW w:type="dxa" w:w="10282"/>
            <w:shd w:fill="FFF2CC"/>
            <w:tcMar>
              <w:top w:w="120" w:type="dxa"/>
              <w:start w:w="140" w:type="dxa"/>
              <w:bottom w:w="120" w:type="dxa"/>
              <w:end w:w="140" w:type="dxa"/>
            </w:tcMar>
            <w:vAlign w:val="center"/>
          </w:tcPr>
          <w:p>
            <w:pPr>
              <w:spacing w:after="0"/>
            </w:pPr>
            <w:r>
              <w:rPr>
                <w:b/>
                <w:color w:val="17365D"/>
              </w:rPr>
              <w:t xml:space="preserve">Implementation note  </w:t>
            </w:r>
            <w:r>
              <w:t>The policy description says “Minimum OS version - latest,” but the payload is a fixed value: 26.5. Executive approval should therefore be understood as approval of the explicit 26.5 threshold, not an automatically updating “latest” version.</w:t>
            </w:r>
          </w:p>
        </w:tc>
      </w:tr>
    </w:tbl>
    <w:p>
      <w:pPr>
        <w:spacing w:after="0"/>
      </w:pPr>
    </w:p>
    <w:sectPr w:rsidR="00FC693F" w:rsidRPr="0006063C" w:rsidSect="00034616">
      <w:footerReference w:type="default" r:id="rId9"/>
      <w:pgSz w:w="12240" w:h="15840"/>
      <w:pgMar w:top="893"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Executive Policy Overview | Resilient 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7365D"/>
      <w:sz w:val="27"/>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ptos Display" w:hAnsi="Aptos Display"/>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