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Policy Overview</w:t>
      </w:r>
    </w:p>
    <w:p>
      <w:pPr>
        <w:jc w:val="center"/>
      </w:pPr>
      <w:r>
        <w:rPr>
          <w:b/>
          <w:color w:val="1F4E79"/>
          <w:sz w:val="32"/>
        </w:rPr>
        <w:t>iOS Block Use of AirDrop from Corporate Apps</w:t>
      </w:r>
    </w:p>
    <w:p>
      <w:pPr>
        <w:jc w:val="center"/>
      </w:pPr>
      <w:r>
        <w:rPr>
          <w:i/>
          <w:sz w:val="21"/>
        </w:rPr>
        <w:t>Microsoft 365 Commercial | iOS/iPadOS Device Configuration</w:t>
      </w:r>
    </w:p>
    <w:tbl>
      <w:tblPr>
        <w:tblW w:type="auto" w:w="0"/>
        <w:jc w:val="center"/>
        <w:tblLayout w:type="fixed"/>
        <w:tblLook w:firstColumn="1" w:firstRow="1" w:lastColumn="0" w:lastRow="0" w:noHBand="0" w:noVBand="1" w:val="04A0"/>
      </w:tblPr>
      <w:tblGrid>
        <w:gridCol w:w="2376"/>
        <w:gridCol w:w="7992"/>
      </w:tblGrid>
      <w:tr>
        <w:tc>
          <w:tcPr>
            <w:tcW w:type="dxa" w:w="2376"/>
            <w:shd w:fill="D9EAF7"/>
            <w:tcMar>
              <w:top w:w="100" w:type="dxa"/>
              <w:start w:w="120" w:type="dxa"/>
              <w:bottom w:w="100" w:type="dxa"/>
              <w:end w:w="120" w:type="dxa"/>
            </w:tcMar>
            <w:vAlign w:val="center"/>
          </w:tcPr>
          <w:p>
            <w:r>
              <w:rPr>
                <w:b/>
              </w:rPr>
              <w:t>Platform</w:t>
            </w:r>
          </w:p>
        </w:tc>
        <w:tc>
          <w:tcPr>
            <w:tcW w:type="dxa" w:w="7992"/>
            <w:tcMar>
              <w:top w:w="100" w:type="dxa"/>
              <w:start w:w="120" w:type="dxa"/>
              <w:bottom w:w="100" w:type="dxa"/>
              <w:end w:w="120" w:type="dxa"/>
            </w:tcMar>
            <w:vAlign w:val="center"/>
          </w:tcPr>
          <w:p>
            <w:r>
              <w:t>iOS/iPadOS</w:t>
            </w:r>
          </w:p>
        </w:tc>
      </w:tr>
      <w:tr>
        <w:tc>
          <w:tcPr>
            <w:tcW w:type="dxa" w:w="2376"/>
            <w:shd w:fill="D9EAF7"/>
            <w:tcMar>
              <w:top w:w="100" w:type="dxa"/>
              <w:start w:w="120" w:type="dxa"/>
              <w:bottom w:w="100" w:type="dxa"/>
              <w:end w:w="120" w:type="dxa"/>
            </w:tcMar>
            <w:vAlign w:val="center"/>
          </w:tcPr>
          <w:p>
            <w:r>
              <w:rPr>
                <w:b/>
              </w:rPr>
              <w:t>Cloud</w:t>
            </w:r>
          </w:p>
        </w:tc>
        <w:tc>
          <w:tcPr>
            <w:tcW w:type="dxa" w:w="7992"/>
            <w:tcMar>
              <w:top w:w="100" w:type="dxa"/>
              <w:start w:w="120" w:type="dxa"/>
              <w:bottom w:w="100" w:type="dxa"/>
              <w:end w:w="120" w:type="dxa"/>
            </w:tcMar>
            <w:vAlign w:val="center"/>
          </w:tcPr>
          <w:p>
            <w:r>
              <w:t>Microsoft 365 Commercial</w:t>
            </w:r>
          </w:p>
        </w:tc>
      </w:tr>
      <w:tr>
        <w:tc>
          <w:tcPr>
            <w:tcW w:type="dxa" w:w="2376"/>
            <w:shd w:fill="D9EAF7"/>
            <w:tcMar>
              <w:top w:w="100" w:type="dxa"/>
              <w:start w:w="120" w:type="dxa"/>
              <w:bottom w:w="100" w:type="dxa"/>
              <w:end w:w="120" w:type="dxa"/>
            </w:tcMar>
            <w:vAlign w:val="center"/>
          </w:tcPr>
          <w:p>
            <w:r>
              <w:rPr>
                <w:b/>
              </w:rPr>
              <w:t>Policy type</w:t>
            </w:r>
          </w:p>
        </w:tc>
        <w:tc>
          <w:tcPr>
            <w:tcW w:type="dxa" w:w="7992"/>
            <w:tcMar>
              <w:top w:w="100" w:type="dxa"/>
              <w:start w:w="120" w:type="dxa"/>
              <w:bottom w:w="100" w:type="dxa"/>
              <w:end w:w="120" w:type="dxa"/>
            </w:tcMar>
            <w:vAlign w:val="center"/>
          </w:tcPr>
          <w:p>
            <w:r>
              <w:t>Device Configuration</w:t>
            </w:r>
          </w:p>
        </w:tc>
      </w:tr>
      <w:tr>
        <w:tc>
          <w:tcPr>
            <w:tcW w:type="dxa" w:w="2376"/>
            <w:shd w:fill="D9EAF7"/>
            <w:tcMar>
              <w:top w:w="100" w:type="dxa"/>
              <w:start w:w="120" w:type="dxa"/>
              <w:bottom w:w="100" w:type="dxa"/>
              <w:end w:w="120" w:type="dxa"/>
            </w:tcMar>
            <w:vAlign w:val="center"/>
          </w:tcPr>
          <w:p>
            <w:r>
              <w:rPr>
                <w:b/>
              </w:rPr>
              <w:t>Deployment state</w:t>
            </w:r>
          </w:p>
        </w:tc>
        <w:tc>
          <w:tcPr>
            <w:tcW w:type="dxa" w:w="7992"/>
            <w:tcMar>
              <w:top w:w="100" w:type="dxa"/>
              <w:start w:w="120" w:type="dxa"/>
              <w:bottom w:w="100" w:type="dxa"/>
              <w:end w:w="120" w:type="dxa"/>
            </w:tcMar>
            <w:vAlign w:val="center"/>
          </w:tcPr>
          <w:p>
            <w:r>
              <w:t>Created but unassigned; technician determines assignment based on the client environment</w:t>
            </w:r>
          </w:p>
        </w:tc>
      </w:tr>
    </w:tbl>
    <w:p/>
    <w:p>
      <w:pPr>
        <w:pStyle w:val="Heading1"/>
      </w:pPr>
      <w:r>
        <w:t>Executive Summary</w:t>
      </w:r>
    </w:p>
    <w:p>
      <w:r>
        <w:t>This policy provides a focused mobile data-loss-prevention control by preventing Intune-managed corporate applications from sending managed data through AirDrop.</w:t>
      </w:r>
    </w:p>
    <w:p>
      <w:r>
        <w:t>It does not disable AirDrop across the entire device. Instead, the policy treats AirDrop as an unmanaged destination. This allows personal AirDrop use to remain available while managed corporate applications are prevented from using AirDrop as a destination for corporate data when the managed-data boundary applies.</w:t>
      </w:r>
    </w:p>
    <w:p>
      <w:r>
        <w:t>The objective is to reduce an easy path for moving corporate information to unmanaged devices without imposing a broader device-wide AirDrop prohibition.</w:t>
      </w:r>
    </w:p>
    <w:p>
      <w:pPr>
        <w:pStyle w:val="Heading1"/>
      </w:pPr>
      <w:r>
        <w:t>What the Policy Does</w:t>
      </w:r>
    </w:p>
    <w:tbl>
      <w:tblPr>
        <w:tblW w:type="auto" w:w="0"/>
        <w:jc w:val="center"/>
        <w:tblLayout w:type="fixed"/>
        <w:tblLook w:firstColumn="1" w:firstRow="1" w:lastColumn="0" w:lastRow="0" w:noHBand="0" w:noVBand="1" w:val="04A0"/>
      </w:tblPr>
      <w:tblGrid>
        <w:gridCol w:w="2880"/>
        <w:gridCol w:w="2232"/>
        <w:gridCol w:w="5256"/>
      </w:tblGrid>
      <w:tr>
        <w:trPr>
          <w:tblHeader w:val="true"/>
        </w:trPr>
        <w:tc>
          <w:tcPr>
            <w:tcW w:type="dxa" w:w="3389"/>
            <w:shd w:fill="17365D"/>
            <w:tcMar>
              <w:top w:w="100" w:type="dxa"/>
              <w:start w:w="120" w:type="dxa"/>
              <w:bottom w:w="100" w:type="dxa"/>
              <w:end w:w="120" w:type="dxa"/>
            </w:tcMar>
            <w:vAlign w:val="center"/>
          </w:tcPr>
          <w:p>
            <w:r>
              <w:rPr>
                <w:b/>
                <w:color w:val="FFFFFF"/>
              </w:rPr>
              <w:t>Control</w:t>
            </w:r>
          </w:p>
        </w:tc>
        <w:tc>
          <w:tcPr>
            <w:tcW w:type="dxa" w:w="3389"/>
            <w:shd w:fill="17365D"/>
            <w:tcMar>
              <w:top w:w="100" w:type="dxa"/>
              <w:start w:w="120" w:type="dxa"/>
              <w:bottom w:w="100" w:type="dxa"/>
              <w:end w:w="120" w:type="dxa"/>
            </w:tcMar>
            <w:vAlign w:val="center"/>
          </w:tcPr>
          <w:p>
            <w:r>
              <w:rPr>
                <w:b/>
                <w:color w:val="FFFFFF"/>
              </w:rPr>
              <w:t>Configuration</w:t>
            </w:r>
          </w:p>
        </w:tc>
        <w:tc>
          <w:tcPr>
            <w:tcW w:type="dxa" w:w="3389"/>
            <w:shd w:fill="17365D"/>
            <w:tcMar>
              <w:top w:w="100" w:type="dxa"/>
              <w:start w:w="120" w:type="dxa"/>
              <w:bottom w:w="100" w:type="dxa"/>
              <w:end w:w="120" w:type="dxa"/>
            </w:tcMar>
            <w:vAlign w:val="center"/>
          </w:tcPr>
          <w:p>
            <w:r>
              <w:rPr>
                <w:b/>
                <w:color w:val="FFFFFF"/>
              </w:rPr>
              <w:t>Business effect</w:t>
            </w:r>
          </w:p>
        </w:tc>
      </w:tr>
      <w:tr>
        <w:tc>
          <w:tcPr>
            <w:tcW w:type="dxa" w:w="2880"/>
            <w:tcMar>
              <w:top w:w="100" w:type="dxa"/>
              <w:start w:w="120" w:type="dxa"/>
              <w:bottom w:w="100" w:type="dxa"/>
              <w:end w:w="120" w:type="dxa"/>
            </w:tcMar>
            <w:vAlign w:val="center"/>
          </w:tcPr>
          <w:p>
            <w:r>
              <w:t>AirDrop as unmanaged destination</w:t>
            </w:r>
          </w:p>
        </w:tc>
        <w:tc>
          <w:tcPr>
            <w:tcW w:type="dxa" w:w="2232"/>
            <w:tcMar>
              <w:top w:w="100" w:type="dxa"/>
              <w:start w:w="120" w:type="dxa"/>
              <w:bottom w:w="100" w:type="dxa"/>
              <w:end w:w="120" w:type="dxa"/>
            </w:tcMar>
            <w:vAlign w:val="center"/>
          </w:tcPr>
          <w:p>
            <w:r>
              <w:t>Enabled</w:t>
            </w:r>
          </w:p>
        </w:tc>
        <w:tc>
          <w:tcPr>
            <w:tcW w:type="dxa" w:w="5256"/>
            <w:tcMar>
              <w:top w:w="100" w:type="dxa"/>
              <w:start w:w="120" w:type="dxa"/>
              <w:bottom w:w="100" w:type="dxa"/>
              <w:end w:w="120" w:type="dxa"/>
            </w:tcMar>
            <w:vAlign w:val="center"/>
          </w:tcPr>
          <w:p>
            <w:r>
              <w:t>Prevents managed apps from sending corporate data through AirDrop</w:t>
            </w:r>
          </w:p>
        </w:tc>
      </w:tr>
      <w:tr>
        <w:tc>
          <w:tcPr>
            <w:tcW w:type="dxa" w:w="2880"/>
            <w:tcMar>
              <w:top w:w="100" w:type="dxa"/>
              <w:start w:w="120" w:type="dxa"/>
              <w:bottom w:w="100" w:type="dxa"/>
              <w:end w:w="120" w:type="dxa"/>
            </w:tcMar>
            <w:vAlign w:val="center"/>
          </w:tcPr>
          <w:p>
            <w:r>
              <w:t>Device-wide AirDrop block</w:t>
            </w:r>
          </w:p>
        </w:tc>
        <w:tc>
          <w:tcPr>
            <w:tcW w:type="dxa" w:w="2232"/>
            <w:tcMar>
              <w:top w:w="100" w:type="dxa"/>
              <w:start w:w="120" w:type="dxa"/>
              <w:bottom w:w="100" w:type="dxa"/>
              <w:end w:w="120" w:type="dxa"/>
            </w:tcMar>
            <w:vAlign w:val="center"/>
          </w:tcPr>
          <w:p>
            <w:r>
              <w:t>Not enabled</w:t>
            </w:r>
          </w:p>
        </w:tc>
        <w:tc>
          <w:tcPr>
            <w:tcW w:type="dxa" w:w="5256"/>
            <w:tcMar>
              <w:top w:w="100" w:type="dxa"/>
              <w:start w:w="120" w:type="dxa"/>
              <w:bottom w:w="100" w:type="dxa"/>
              <w:end w:w="120" w:type="dxa"/>
            </w:tcMar>
            <w:vAlign w:val="center"/>
          </w:tcPr>
          <w:p>
            <w:r>
              <w:t>AirDrop itself remains available unless another policy blocks it</w:t>
            </w:r>
          </w:p>
        </w:tc>
      </w:tr>
      <w:tr>
        <w:tc>
          <w:tcPr>
            <w:tcW w:type="dxa" w:w="2880"/>
            <w:tcMar>
              <w:top w:w="100" w:type="dxa"/>
              <w:start w:w="120" w:type="dxa"/>
              <w:bottom w:w="100" w:type="dxa"/>
              <w:end w:w="120" w:type="dxa"/>
            </w:tcMar>
            <w:vAlign w:val="center"/>
          </w:tcPr>
          <w:p>
            <w:r>
              <w:t>Managed document transfer</w:t>
            </w:r>
          </w:p>
        </w:tc>
        <w:tc>
          <w:tcPr>
            <w:tcW w:type="dxa" w:w="2232"/>
            <w:tcMar>
              <w:top w:w="100" w:type="dxa"/>
              <w:start w:w="120" w:type="dxa"/>
              <w:bottom w:w="100" w:type="dxa"/>
              <w:end w:w="120" w:type="dxa"/>
            </w:tcMar>
            <w:vAlign w:val="center"/>
          </w:tcPr>
          <w:p>
            <w:r>
              <w:t>Protected through managed/unmanaged boundary</w:t>
            </w:r>
          </w:p>
        </w:tc>
        <w:tc>
          <w:tcPr>
            <w:tcW w:type="dxa" w:w="5256"/>
            <w:tcMar>
              <w:top w:w="100" w:type="dxa"/>
              <w:start w:w="120" w:type="dxa"/>
              <w:bottom w:w="100" w:type="dxa"/>
              <w:end w:w="120" w:type="dxa"/>
            </w:tcMar>
            <w:vAlign w:val="center"/>
          </w:tcPr>
          <w:p>
            <w:r>
              <w:t>AirDrop is treated as outside the managed corporate data boundary</w:t>
            </w:r>
          </w:p>
        </w:tc>
      </w:tr>
      <w:tr>
        <w:tc>
          <w:tcPr>
            <w:tcW w:type="dxa" w:w="2880"/>
            <w:tcMar>
              <w:top w:w="100" w:type="dxa"/>
              <w:start w:w="120" w:type="dxa"/>
              <w:bottom w:w="100" w:type="dxa"/>
              <w:end w:w="120" w:type="dxa"/>
            </w:tcMar>
            <w:vAlign w:val="center"/>
          </w:tcPr>
          <w:p>
            <w:r>
              <w:t>Screen capture</w:t>
            </w:r>
          </w:p>
        </w:tc>
        <w:tc>
          <w:tcPr>
            <w:tcW w:type="dxa" w:w="2232"/>
            <w:tcMar>
              <w:top w:w="100" w:type="dxa"/>
              <w:start w:w="120" w:type="dxa"/>
              <w:bottom w:w="100" w:type="dxa"/>
              <w:end w:w="120" w:type="dxa"/>
            </w:tcMar>
            <w:vAlign w:val="center"/>
          </w:tcPr>
          <w:p>
            <w:r>
              <w:t>Not blocked here</w:t>
            </w:r>
          </w:p>
        </w:tc>
        <w:tc>
          <w:tcPr>
            <w:tcW w:type="dxa" w:w="5256"/>
            <w:tcMar>
              <w:top w:w="100" w:type="dxa"/>
              <w:start w:w="120" w:type="dxa"/>
              <w:bottom w:w="100" w:type="dxa"/>
              <w:end w:w="120" w:type="dxa"/>
            </w:tcMar>
            <w:vAlign w:val="center"/>
          </w:tcPr>
          <w:p>
            <w:r>
              <w:t>Screenshots are outside this policy’s intended scope</w:t>
            </w:r>
          </w:p>
        </w:tc>
      </w:tr>
      <w:tr>
        <w:tc>
          <w:tcPr>
            <w:tcW w:type="dxa" w:w="2880"/>
            <w:tcMar>
              <w:top w:w="100" w:type="dxa"/>
              <w:start w:w="120" w:type="dxa"/>
              <w:bottom w:w="100" w:type="dxa"/>
              <w:end w:w="120" w:type="dxa"/>
            </w:tcMar>
            <w:vAlign w:val="center"/>
          </w:tcPr>
          <w:p>
            <w:r>
              <w:t>Policy assignment</w:t>
            </w:r>
          </w:p>
        </w:tc>
        <w:tc>
          <w:tcPr>
            <w:tcW w:type="dxa" w:w="2232"/>
            <w:tcMar>
              <w:top w:w="100" w:type="dxa"/>
              <w:start w:w="120" w:type="dxa"/>
              <w:bottom w:w="100" w:type="dxa"/>
              <w:end w:w="120" w:type="dxa"/>
            </w:tcMar>
            <w:vAlign w:val="center"/>
          </w:tcPr>
          <w:p>
            <w:r>
              <w:t>None on creation</w:t>
            </w:r>
          </w:p>
        </w:tc>
        <w:tc>
          <w:tcPr>
            <w:tcW w:type="dxa" w:w="5256"/>
            <w:tcMar>
              <w:top w:w="100" w:type="dxa"/>
              <w:start w:w="120" w:type="dxa"/>
              <w:bottom w:w="100" w:type="dxa"/>
              <w:end w:w="120" w:type="dxa"/>
            </w:tcMar>
            <w:vAlign w:val="center"/>
          </w:tcPr>
          <w:p>
            <w:r>
              <w:t>Technician determines the correct client scope</w:t>
            </w:r>
          </w:p>
        </w:tc>
      </w:tr>
    </w:tbl>
    <w:p>
      <w:pPr>
        <w:pStyle w:val="Heading1"/>
      </w:pPr>
      <w:r>
        <w:t>How It Works</w:t>
      </w:r>
    </w:p>
    <w:p>
      <w:r>
        <w:t>The script creates or updates an Intune iOS/iPadOS general device configuration policy through Microsoft Graph. Its primary security setting is airDropForceUnmanagedDropTarget = true.</w:t>
      </w:r>
    </w:p>
    <w:p>
      <w:r>
        <w:t>Microsoft documents this setting as “Treat AirDrop as an unmanaged destination.” When enabled, AirDrop is considered an unmanaged drop target, which stops managed apps from sending data using AirDrop.</w:t>
      </w:r>
    </w:p>
    <w:p>
      <w:r>
        <w:t>The script uses exact display-name matching, stops if duplicate policies are detected, and records deployment results to C:\Temp. It does not automatically assign the policy: new policies remain unassigned and existing assignments are preserved on update.</w:t>
      </w:r>
    </w:p>
    <w:p>
      <w:pPr>
        <w:pStyle w:val="Heading1"/>
      </w:pPr>
      <w:r>
        <w:t>Why This Policy Is Important</w:t>
      </w:r>
    </w:p>
    <w:p>
      <w:r>
        <w:t>AirDrop can move information quickly between nearby Apple devices. Without a managed-data boundary, it can provide a simple path for corporate files or content to leave managed applications and reach devices or users outside organizational control.</w:t>
      </w:r>
    </w:p>
    <w:p>
      <w:r>
        <w:t>Treating AirDrop as unmanaged reduces that exposure while preserving normal personal-device functionality. This supports a least-restrictive approach: protect corporate data specifically rather than disabling a consumer feature for every use case.</w:t>
      </w:r>
    </w:p>
    <w:p>
      <w:r>
        <w:t>The policy is most effective as part of a layered iOS/iPadOS data-protection model that also includes managed/unmanaged document restrictions, App Protection Policies, compliance policies, and Conditional Access.</w:t>
      </w:r>
    </w:p>
    <w:p>
      <w:pPr>
        <w:pStyle w:val="Heading1"/>
      </w:pPr>
      <w:r>
        <w:t>User Impact</w:t>
      </w:r>
    </w:p>
    <w:p>
      <w:r>
        <w:rPr>
          <w:b/>
        </w:rPr>
        <w:t>Expected impact: Low to Moderate.</w:t>
      </w:r>
    </w:p>
    <w:p>
      <w:r>
        <w:t>Users may continue to use AirDrop for personal or otherwise unmanaged content unless another policy blocks AirDrop device-wide.</w:t>
      </w:r>
    </w:p>
    <w:p>
      <w:r>
        <w:t>The visible restriction occurs when a managed corporate app attempts to send protected corporate data through AirDrop. In that scenario, AirDrop is treated as an unmanaged destination and the transfer is prevented.</w:t>
      </w:r>
    </w:p>
    <w:p>
      <w:pPr>
        <w:pStyle w:val="Heading1"/>
      </w:pPr>
      <w:r>
        <w:t>Security Posture</w:t>
      </w:r>
    </w:p>
    <w:p>
      <w:r>
        <w:rPr>
          <w:b/>
        </w:rPr>
        <w:t>Enhanced mobile data-loss prevention</w:t>
      </w:r>
    </w:p>
    <w:p>
      <w:r>
        <w:t>This policy is appropriate for organizations that want to reduce exfiltration of managed corporate data through nearby-device sharing without disabling AirDrop entirely.</w:t>
      </w:r>
    </w:p>
    <w:p>
      <w:pPr>
        <w:pStyle w:val="Heading1"/>
      </w:pPr>
      <w:r>
        <w:t>Deployment and Assignment</w:t>
      </w:r>
    </w:p>
    <w:p>
      <w:r>
        <w:t>The script does not automatically target users, devices, or groups. New policies remain unassigned and existing assignments are preserved when an existing policy is updated.</w:t>
      </w:r>
    </w:p>
    <w:p>
      <w:r>
        <w:t>Before deployment, the technician should confirm the client’s device-ownership model, managed/unmanaged data-transfer requirements, App Protection Policy strategy, and any overlapping iOS/iPadOS restrictions.</w:t>
      </w:r>
    </w:p>
    <w:p>
      <w:pPr>
        <w:pStyle w:val="Heading1"/>
      </w:pPr>
      <w:r>
        <w:t>Approval Recommendation</w:t>
      </w:r>
    </w:p>
    <w:p>
      <w:r>
        <w:rPr>
          <w:b/>
        </w:rPr>
        <w:t>Recommended for approval as a standard iOS/iPadOS managed-data protection control</w:t>
      </w:r>
    </w:p>
    <w:p>
      <w:r>
        <w:t>for clients that want to prevent corporate-managed applications from sending data through AirDrop while preserving personal AirDrop functionality where appropriate. Assignment should remain technician-controlled so deployment can be tailored to each client environment.</w:t>
      </w:r>
    </w:p>
    <w:p>
      <w:pPr>
        <w:pStyle w:val="Heading1"/>
      </w:pPr>
      <w:r>
        <w:t>Implementation Note / Exception</w:t>
      </w:r>
    </w:p>
    <w:p>
      <w:r>
        <w:t>The intended control is airDropForceUnmanagedDropTarget = true. The script also explicitly sets airDropBlocked = false, confirming that this policy does not disable AirDrop device-wide.</w:t>
      </w:r>
    </w:p>
    <w:p>
      <w:r>
        <w:t>The script was generated from a broad exported iOS/iPadOS Device Restrictions payload. It therefore contains many unrelated settings explicitly set to false, null, or default values. This creates a broader configuration surface than an ideal single-purpose profile and may overlap with other iOS/iPadOS Device Restrictions policies during deployment.</w:t>
      </w:r>
    </w:p>
    <w:p>
      <w:pPr>
        <w:spacing w:before="200"/>
      </w:pPr>
      <w:r>
        <w:rPr>
          <w:b/>
        </w:rPr>
        <w:t xml:space="preserve">Source basis: </w:t>
      </w:r>
      <w:r>
        <w:t>Policy script provided for review; Microsoft Intune Apple device restriction documentation and Microsoft Graph iosGeneralDeviceConfiguration documentation.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