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Policy Overview</w:t>
      </w:r>
    </w:p>
    <w:p>
      <w:pPr>
        <w:jc w:val="center"/>
      </w:pPr>
      <w:r>
        <w:rPr>
          <w:b/>
          <w:color w:val="2F5597"/>
          <w:sz w:val="30"/>
        </w:rPr>
        <w:t>iOS Block Copy and Paste between Corporate and Personal Apps</w:t>
      </w:r>
    </w:p>
    <w:p>
      <w:pPr>
        <w:jc w:val="center"/>
      </w:pPr>
      <w:r>
        <w:rPr>
          <w:i/>
          <w:sz w:val="21"/>
        </w:rPr>
        <w:t>Microsoft 365 Commercial | iOS/iPadOS Device Configuration</w:t>
      </w:r>
    </w:p>
    <w:tbl>
      <w:tblPr>
        <w:tblW w:type="auto" w:w="0"/>
        <w:jc w:val="center"/>
        <w:tblLayout w:type="fixed"/>
        <w:tblLook w:firstColumn="1" w:firstRow="1" w:lastColumn="0" w:lastRow="0" w:noHBand="0" w:noVBand="1" w:val="04A0"/>
      </w:tblPr>
      <w:tblGrid>
        <w:gridCol w:w="2520"/>
        <w:gridCol w:w="8208"/>
      </w:tblGrid>
      <w:tr>
        <w:tc>
          <w:tcPr>
            <w:tcW w:type="dxa" w:w="5083"/>
            <w:shd w:fill="D9EAF7"/>
            <w:tcMar>
              <w:top w:w="100" w:type="dxa"/>
              <w:start w:w="120" w:type="dxa"/>
              <w:bottom w:w="100" w:type="dxa"/>
              <w:end w:w="120" w:type="dxa"/>
            </w:tcMar>
            <w:vAlign w:val="center"/>
          </w:tcPr>
          <w:p>
            <w:r>
              <w:rPr>
                <w:b/>
              </w:rPr>
              <w:t>Platform</w:t>
            </w:r>
          </w:p>
        </w:tc>
        <w:tc>
          <w:tcPr>
            <w:tcW w:type="dxa" w:w="5083"/>
            <w:tcMar>
              <w:top w:w="100" w:type="dxa"/>
              <w:start w:w="120" w:type="dxa"/>
              <w:bottom w:w="100" w:type="dxa"/>
              <w:end w:w="120" w:type="dxa"/>
            </w:tcMar>
            <w:vAlign w:val="center"/>
          </w:tcPr>
          <w:p>
            <w:r>
              <w:t>iOS/iPadOS</w:t>
            </w:r>
          </w:p>
        </w:tc>
      </w:tr>
      <w:tr>
        <w:tc>
          <w:tcPr>
            <w:tcW w:type="dxa" w:w="5083"/>
            <w:shd w:fill="D9EAF7"/>
            <w:tcMar>
              <w:top w:w="100" w:type="dxa"/>
              <w:start w:w="120" w:type="dxa"/>
              <w:bottom w:w="100" w:type="dxa"/>
              <w:end w:w="120" w:type="dxa"/>
            </w:tcMar>
            <w:vAlign w:val="center"/>
          </w:tcPr>
          <w:p>
            <w:r>
              <w:rPr>
                <w:b/>
              </w:rPr>
              <w:t>Cloud</w:t>
            </w:r>
          </w:p>
        </w:tc>
        <w:tc>
          <w:tcPr>
            <w:tcW w:type="dxa" w:w="5083"/>
            <w:tcMar>
              <w:top w:w="100" w:type="dxa"/>
              <w:start w:w="120" w:type="dxa"/>
              <w:bottom w:w="100" w:type="dxa"/>
              <w:end w:w="120" w:type="dxa"/>
            </w:tcMar>
            <w:vAlign w:val="center"/>
          </w:tcPr>
          <w:p>
            <w:r>
              <w:t>Microsoft 365 Commercial</w:t>
            </w:r>
          </w:p>
        </w:tc>
      </w:tr>
      <w:tr>
        <w:tc>
          <w:tcPr>
            <w:tcW w:type="dxa" w:w="5083"/>
            <w:shd w:fill="D9EAF7"/>
            <w:tcMar>
              <w:top w:w="100" w:type="dxa"/>
              <w:start w:w="120" w:type="dxa"/>
              <w:bottom w:w="100" w:type="dxa"/>
              <w:end w:w="120" w:type="dxa"/>
            </w:tcMar>
            <w:vAlign w:val="center"/>
          </w:tcPr>
          <w:p>
            <w:r>
              <w:rPr>
                <w:b/>
              </w:rPr>
              <w:t>Policy type</w:t>
            </w:r>
          </w:p>
        </w:tc>
        <w:tc>
          <w:tcPr>
            <w:tcW w:type="dxa" w:w="5083"/>
            <w:tcMar>
              <w:top w:w="100" w:type="dxa"/>
              <w:start w:w="120" w:type="dxa"/>
              <w:bottom w:w="100" w:type="dxa"/>
              <w:end w:w="120" w:type="dxa"/>
            </w:tcMar>
            <w:vAlign w:val="center"/>
          </w:tcPr>
          <w:p>
            <w:r>
              <w:t>Device Configuration</w:t>
            </w:r>
          </w:p>
        </w:tc>
      </w:tr>
      <w:tr>
        <w:tc>
          <w:tcPr>
            <w:tcW w:type="dxa" w:w="5083"/>
            <w:shd w:fill="D9EAF7"/>
            <w:tcMar>
              <w:top w:w="100" w:type="dxa"/>
              <w:start w:w="120" w:type="dxa"/>
              <w:bottom w:w="100" w:type="dxa"/>
              <w:end w:w="120" w:type="dxa"/>
            </w:tcMar>
            <w:vAlign w:val="center"/>
          </w:tcPr>
          <w:p>
            <w:r>
              <w:rPr>
                <w:b/>
              </w:rPr>
              <w:t>Deployment state</w:t>
            </w:r>
          </w:p>
        </w:tc>
        <w:tc>
          <w:tcPr>
            <w:tcW w:type="dxa" w:w="5083"/>
            <w:tcMar>
              <w:top w:w="100" w:type="dxa"/>
              <w:start w:w="120" w:type="dxa"/>
              <w:bottom w:w="100" w:type="dxa"/>
              <w:end w:w="120" w:type="dxa"/>
            </w:tcMar>
            <w:vAlign w:val="center"/>
          </w:tcPr>
          <w:p>
            <w:r>
              <w:t>Created but unassigned; technician determines assignment based on the client environment</w:t>
            </w:r>
          </w:p>
        </w:tc>
      </w:tr>
    </w:tbl>
    <w:p/>
    <w:p>
      <w:pPr>
        <w:pStyle w:val="Heading1"/>
        <w:keepNext/>
      </w:pPr>
      <w:r>
        <w:t>Executive Summary</w:t>
      </w:r>
    </w:p>
    <w:p>
      <w:r>
        <w:t>This policy is designed to reduce accidental or unauthorized transfer of corporate information between managed work applications and personal applications on enrolled iOS/iPadOS devices. It enables Apple managed pasteboard behavior through Intune so copy-and-paste activity can follow the organization's managed open-in boundaries instead of behaving as unrestricted device-wide clipboard activity.</w:t>
      </w:r>
    </w:p>
    <w:p>
      <w:r>
        <w:t>The control is intended as a focused data-loss-prevention measure. It does not, by itself, define every managed-versus-unmanaged document transfer rule; those related open-in controls are configured separately. This lets the organization use copy/paste restrictions as part of a broader layered mobile data-protection design.</w:t>
      </w:r>
    </w:p>
    <w:p>
      <w:pPr>
        <w:pStyle w:val="Heading1"/>
        <w:keepNext/>
      </w:pPr>
      <w:r>
        <w:t>What the Policy Does</w:t>
      </w:r>
    </w:p>
    <w:tbl>
      <w:tblPr>
        <w:tblStyle w:val="TableGrid"/>
        <w:tblW w:type="auto" w:w="0"/>
        <w:jc w:val="center"/>
        <w:tblLayout w:type="fixed"/>
        <w:tblLook w:firstColumn="1" w:firstRow="1" w:lastColumn="0" w:lastRow="0" w:noHBand="0" w:noVBand="1" w:val="04A0"/>
      </w:tblPr>
      <w:tblGrid>
        <w:gridCol w:w="2880"/>
        <w:gridCol w:w="2448"/>
        <w:gridCol w:w="5256"/>
      </w:tblGrid>
      <w:tr>
        <w:tc>
          <w:tcPr>
            <w:tcW w:type="dxa" w:w="3389"/>
            <w:shd w:fill="2F5597"/>
            <w:tcMar>
              <w:top w:w="100" w:type="dxa"/>
              <w:start w:w="120" w:type="dxa"/>
              <w:bottom w:w="100" w:type="dxa"/>
              <w:end w:w="120" w:type="dxa"/>
            </w:tcMar>
          </w:tcPr>
          <w:p>
            <w:r>
              <w:rPr>
                <w:b/>
                <w:color w:val="FFFFFF"/>
              </w:rPr>
              <w:t>Control</w:t>
            </w:r>
          </w:p>
        </w:tc>
        <w:tc>
          <w:tcPr>
            <w:tcW w:type="dxa" w:w="3389"/>
            <w:shd w:fill="2F5597"/>
            <w:tcMar>
              <w:top w:w="100" w:type="dxa"/>
              <w:start w:w="120" w:type="dxa"/>
              <w:bottom w:w="100" w:type="dxa"/>
              <w:end w:w="120" w:type="dxa"/>
            </w:tcMar>
          </w:tcPr>
          <w:p>
            <w:r>
              <w:rPr>
                <w:b/>
                <w:color w:val="FFFFFF"/>
              </w:rPr>
              <w:t>Configuration</w:t>
            </w:r>
          </w:p>
        </w:tc>
        <w:tc>
          <w:tcPr>
            <w:tcW w:type="dxa" w:w="3389"/>
            <w:shd w:fill="2F5597"/>
            <w:tcMar>
              <w:top w:w="100" w:type="dxa"/>
              <w:start w:w="120" w:type="dxa"/>
              <w:bottom w:w="100" w:type="dxa"/>
              <w:end w:w="120" w:type="dxa"/>
            </w:tcMar>
          </w:tcPr>
          <w:p>
            <w:r>
              <w:rPr>
                <w:b/>
                <w:color w:val="FFFFFF"/>
              </w:rPr>
              <w:t>Business effect</w:t>
            </w:r>
          </w:p>
        </w:tc>
      </w:tr>
      <w:tr>
        <w:tc>
          <w:tcPr>
            <w:tcW w:type="dxa" w:w="2880"/>
            <w:tcMar>
              <w:top w:w="100" w:type="dxa"/>
              <w:start w:w="120" w:type="dxa"/>
              <w:bottom w:w="100" w:type="dxa"/>
              <w:end w:w="120" w:type="dxa"/>
            </w:tcMar>
            <w:vAlign w:val="center"/>
          </w:tcPr>
          <w:p>
            <w:r>
              <w:rPr>
                <w:b/>
              </w:rPr>
              <w:t>Managed pasteboard behavior</w:t>
            </w:r>
          </w:p>
        </w:tc>
        <w:tc>
          <w:tcPr>
            <w:tcW w:type="dxa" w:w="2448"/>
            <w:tcMar>
              <w:top w:w="100" w:type="dxa"/>
              <w:start w:w="120" w:type="dxa"/>
              <w:bottom w:w="100" w:type="dxa"/>
              <w:end w:w="120" w:type="dxa"/>
            </w:tcMar>
            <w:vAlign w:val="center"/>
          </w:tcPr>
          <w:p>
            <w:r>
              <w:t>Required</w:t>
            </w:r>
          </w:p>
        </w:tc>
        <w:tc>
          <w:tcPr>
            <w:tcW w:type="dxa" w:w="5256"/>
            <w:tcMar>
              <w:top w:w="100" w:type="dxa"/>
              <w:start w:w="120" w:type="dxa"/>
              <w:bottom w:w="100" w:type="dxa"/>
              <w:end w:w="120" w:type="dxa"/>
            </w:tcMar>
            <w:vAlign w:val="center"/>
          </w:tcPr>
          <w:p>
            <w:r>
              <w:t>Makes copy/paste behavior subject to Apple managed open-in boundaries, helping limit movement of corporate content between managed and unmanaged contexts.</w:t>
            </w:r>
          </w:p>
        </w:tc>
      </w:tr>
      <w:tr>
        <w:tc>
          <w:tcPr>
            <w:tcW w:type="dxa" w:w="2880"/>
            <w:tcMar>
              <w:top w:w="100" w:type="dxa"/>
              <w:start w:w="120" w:type="dxa"/>
              <w:bottom w:w="100" w:type="dxa"/>
              <w:end w:w="120" w:type="dxa"/>
            </w:tcMar>
            <w:vAlign w:val="center"/>
          </w:tcPr>
          <w:p>
            <w:r>
              <w:rPr>
                <w:b/>
              </w:rPr>
              <w:t>Managed document open-in</w:t>
            </w:r>
          </w:p>
        </w:tc>
        <w:tc>
          <w:tcPr>
            <w:tcW w:type="dxa" w:w="2448"/>
            <w:tcMar>
              <w:top w:w="100" w:type="dxa"/>
              <w:start w:w="120" w:type="dxa"/>
              <w:bottom w:w="100" w:type="dxa"/>
              <w:end w:w="120" w:type="dxa"/>
            </w:tcMar>
            <w:vAlign w:val="center"/>
          </w:tcPr>
          <w:p>
            <w:r>
              <w:t>Not blocked by this specific policy</w:t>
            </w:r>
          </w:p>
        </w:tc>
        <w:tc>
          <w:tcPr>
            <w:tcW w:type="dxa" w:w="5256"/>
            <w:tcMar>
              <w:top w:w="100" w:type="dxa"/>
              <w:start w:w="120" w:type="dxa"/>
              <w:bottom w:w="100" w:type="dxa"/>
              <w:end w:w="120" w:type="dxa"/>
            </w:tcMar>
            <w:vAlign w:val="center"/>
          </w:tcPr>
          <w:p>
            <w:r>
              <w:t>This policy does not independently block managed documents from opening in unmanaged apps; that is handled by a separate device restriction.</w:t>
            </w:r>
          </w:p>
        </w:tc>
      </w:tr>
      <w:tr>
        <w:tc>
          <w:tcPr>
            <w:tcW w:type="dxa" w:w="2880"/>
            <w:tcMar>
              <w:top w:w="100" w:type="dxa"/>
              <w:start w:w="120" w:type="dxa"/>
              <w:bottom w:w="100" w:type="dxa"/>
              <w:end w:w="120" w:type="dxa"/>
            </w:tcMar>
            <w:vAlign w:val="center"/>
          </w:tcPr>
          <w:p>
            <w:r>
              <w:rPr>
                <w:b/>
              </w:rPr>
              <w:t>Unmanaged document open-in</w:t>
            </w:r>
          </w:p>
        </w:tc>
        <w:tc>
          <w:tcPr>
            <w:tcW w:type="dxa" w:w="2448"/>
            <w:tcMar>
              <w:top w:w="100" w:type="dxa"/>
              <w:start w:w="120" w:type="dxa"/>
              <w:bottom w:w="100" w:type="dxa"/>
              <w:end w:w="120" w:type="dxa"/>
            </w:tcMar>
            <w:vAlign w:val="center"/>
          </w:tcPr>
          <w:p>
            <w:r>
              <w:t>Not blocked by this specific policy</w:t>
            </w:r>
          </w:p>
        </w:tc>
        <w:tc>
          <w:tcPr>
            <w:tcW w:type="dxa" w:w="5256"/>
            <w:tcMar>
              <w:top w:w="100" w:type="dxa"/>
              <w:start w:w="120" w:type="dxa"/>
              <w:bottom w:w="100" w:type="dxa"/>
              <w:end w:w="120" w:type="dxa"/>
            </w:tcMar>
            <w:vAlign w:val="center"/>
          </w:tcPr>
          <w:p>
            <w:r>
              <w:t>This policy does not independently block unmanaged documents from opening in managed apps; that is handled by a separate device restriction.</w:t>
            </w:r>
          </w:p>
        </w:tc>
      </w:tr>
      <w:tr>
        <w:tc>
          <w:tcPr>
            <w:tcW w:type="dxa" w:w="2880"/>
            <w:tcMar>
              <w:top w:w="100" w:type="dxa"/>
              <w:start w:w="120" w:type="dxa"/>
              <w:bottom w:w="100" w:type="dxa"/>
              <w:end w:w="120" w:type="dxa"/>
            </w:tcMar>
            <w:vAlign w:val="center"/>
          </w:tcPr>
          <w:p>
            <w:r>
              <w:rPr>
                <w:b/>
              </w:rPr>
              <w:t>Screen capture</w:t>
            </w:r>
          </w:p>
        </w:tc>
        <w:tc>
          <w:tcPr>
            <w:tcW w:type="dxa" w:w="2448"/>
            <w:tcMar>
              <w:top w:w="100" w:type="dxa"/>
              <w:start w:w="120" w:type="dxa"/>
              <w:bottom w:w="100" w:type="dxa"/>
              <w:end w:w="120" w:type="dxa"/>
            </w:tcMar>
            <w:vAlign w:val="center"/>
          </w:tcPr>
          <w:p>
            <w:r>
              <w:t>Not blocked</w:t>
            </w:r>
          </w:p>
        </w:tc>
        <w:tc>
          <w:tcPr>
            <w:tcW w:type="dxa" w:w="5256"/>
            <w:tcMar>
              <w:top w:w="100" w:type="dxa"/>
              <w:start w:w="120" w:type="dxa"/>
              <w:bottom w:w="100" w:type="dxa"/>
              <w:end w:w="120" w:type="dxa"/>
            </w:tcMar>
            <w:vAlign w:val="center"/>
          </w:tcPr>
          <w:p>
            <w:r>
              <w:t>Screenshots are outside the scope of this policy.</w:t>
            </w:r>
          </w:p>
        </w:tc>
      </w:tr>
      <w:tr>
        <w:tc>
          <w:tcPr>
            <w:tcW w:type="dxa" w:w="2880"/>
            <w:tcMar>
              <w:top w:w="100" w:type="dxa"/>
              <w:start w:w="120" w:type="dxa"/>
              <w:bottom w:w="100" w:type="dxa"/>
              <w:end w:w="120" w:type="dxa"/>
            </w:tcMar>
            <w:vAlign w:val="center"/>
          </w:tcPr>
          <w:p>
            <w:r>
              <w:rPr>
                <w:b/>
              </w:rPr>
              <w:t>Passcode controls</w:t>
            </w:r>
          </w:p>
        </w:tc>
        <w:tc>
          <w:tcPr>
            <w:tcW w:type="dxa" w:w="2448"/>
            <w:tcMar>
              <w:top w:w="100" w:type="dxa"/>
              <w:start w:w="120" w:type="dxa"/>
              <w:bottom w:w="100" w:type="dxa"/>
              <w:end w:w="120" w:type="dxa"/>
            </w:tcMar>
            <w:vAlign w:val="center"/>
          </w:tcPr>
          <w:p>
            <w:r>
              <w:t>Not configured here</w:t>
            </w:r>
          </w:p>
        </w:tc>
        <w:tc>
          <w:tcPr>
            <w:tcW w:type="dxa" w:w="5256"/>
            <w:tcMar>
              <w:top w:w="100" w:type="dxa"/>
              <w:start w:w="120" w:type="dxa"/>
              <w:bottom w:w="100" w:type="dxa"/>
              <w:end w:w="120" w:type="dxa"/>
            </w:tcMar>
            <w:vAlign w:val="center"/>
          </w:tcPr>
          <w:p>
            <w:r>
              <w:t>Device passcode and lock requirements are handled through the separate iOS/iPadOS password and compliance policies.</w:t>
            </w:r>
          </w:p>
        </w:tc>
      </w:tr>
    </w:tbl>
    <w:p/>
    <w:p>
      <w:pPr>
        <w:pStyle w:val="Heading1"/>
        <w:keepNext/>
      </w:pPr>
      <w:r>
        <w:t>How It Works</w:t>
      </w:r>
    </w:p>
    <w:p>
      <w:r>
        <w:t>The deployment script creates or updates an Intune iOS/iPadOS general device configuration policy using Microsoft Graph. The key setting is managedPasteboardRequired = true. Microsoft describes this control as using Apple open-in management to govern how data is shared between managed and unmanaged apps.</w:t>
      </w:r>
    </w:p>
    <w:p>
      <w:r>
        <w:t>The script uses exact display-name matching, stops if duplicate policies with the same name are found, and writes deployment results to C:\Temp. For a newly created policy, no assignment is created. If an existing policy is updated, its current assignments are preserved.</w:t>
      </w:r>
    </w:p>
    <w:p>
      <w:pPr>
        <w:pStyle w:val="Heading1"/>
        <w:keepNext/>
      </w:pPr>
      <w:r>
        <w:t>Why This Policy Is Important</w:t>
      </w:r>
    </w:p>
    <w:p>
      <w:r>
        <w:t>Copy and paste is an easy path for corporate information to move outside managed applications. Applying managed pasteboard behavior reduces that risk while preserving legitimate workflows that are permitted by the organization's managed open-in configuration.</w:t>
      </w:r>
    </w:p>
    <w:p>
      <w:pPr>
        <w:pStyle w:val="ListBullet"/>
      </w:pPr>
      <w:r>
        <w:t>Reduces casual or accidental movement of corporate text and data into unmanaged personal applications.</w:t>
      </w:r>
    </w:p>
    <w:p>
      <w:pPr>
        <w:pStyle w:val="ListBullet"/>
      </w:pPr>
      <w:r>
        <w:t>Supports a layered mobile data-loss-prevention strategy rather than relying on a single control.</w:t>
      </w:r>
    </w:p>
    <w:p>
      <w:pPr>
        <w:pStyle w:val="ListBullet"/>
      </w:pPr>
      <w:r>
        <w:t>Works with separate managed/unmanaged document-opening policies to define the overall data-transfer boundary.</w:t>
      </w:r>
    </w:p>
    <w:p>
      <w:pPr>
        <w:pStyle w:val="ListBullet"/>
      </w:pPr>
      <w:r>
        <w:t>Allows client-specific assignment decisions instead of applying the restriction universally.</w:t>
      </w:r>
    </w:p>
    <w:p>
      <w:pPr>
        <w:pStyle w:val="Heading1"/>
        <w:keepNext/>
      </w:pPr>
      <w:r>
        <w:t>User Impact</w:t>
      </w:r>
    </w:p>
    <w:p>
      <w:r>
        <w:t>Expected impact: Moderate. Users may encounter situations where content cannot be pasted from a corporate application into a personal or unmanaged application, depending on the associated managed open-in configuration. Copy/paste within permitted managed workflows should continue to function.</w:t>
      </w:r>
    </w:p>
    <w:p>
      <w:pPr>
        <w:pStyle w:val="Heading1"/>
        <w:keepNext/>
      </w:pPr>
      <w:r>
        <w:t>Security Posture</w:t>
      </w:r>
    </w:p>
    <w:p>
      <w:r>
        <w:t>Enhanced mobile data-loss prevention. This policy is more restrictive than leaving the iOS clipboard unrestricted, but it is intentionally scoped to managed pasteboard behavior rather than serving as a complete mobile DLP policy by itself.</w:t>
      </w:r>
    </w:p>
    <w:p>
      <w:pPr>
        <w:pStyle w:val="Heading1"/>
        <w:keepNext/>
      </w:pPr>
      <w:r>
        <w:t>Deployment and Assignment</w:t>
      </w:r>
    </w:p>
    <w:p>
      <w:r>
        <w:t>The script does not automatically target users, devices, or groups. New policies are left unassigned and existing assignments are preserved on update. The technician should select the appropriate scope based on the client's enrollment model, mobile application strategy, data sensitivity, and other iOS/iPadOS data-transfer controls.</w:t>
      </w:r>
    </w:p>
    <w:p>
      <w:pPr>
        <w:pStyle w:val="Heading1"/>
        <w:keepNext/>
      </w:pPr>
      <w:r>
        <w:t>Approval Recommendation</w:t>
      </w:r>
    </w:p>
    <w:p>
      <w:r>
        <w:t>Recommended for approval as part of the standard iOS/iPadOS corporate data-protection baseline where the organization wants copy/paste behavior to follow managed application boundaries. Deployment should remain technician-controlled so the policy can be scoped appropriately for each client environment.</w:t>
      </w:r>
    </w:p>
    <w:p>
      <w:pPr>
        <w:pStyle w:val="Heading1"/>
        <w:keepNext/>
      </w:pPr>
      <w:r>
        <w:t>Implementation Note / Exception</w:t>
      </w:r>
    </w:p>
    <w:p>
      <w:r>
        <w:t>The script was generated from a broad exported iOS/iPadOS device-restriction payload. Although managedPasteboardRequired is the intended active control, the payload also explicitly contains many other properties set to false, null, or default values. This means the script is broader than a minimal one-setting policy and can overlap with other iOS/iPadOS device-restriction profiles. That overlap should be considered during pilot deployment and conflict review.</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Executive Policy Approval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