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iOS Block Viewing Corporate Documents in Personal Apps</w:t>
      </w:r>
    </w:p>
    <w:p>
      <w:r>
        <w:rPr>
          <w:b/>
        </w:rPr>
        <w:t>Executive Policy Overview</w:t>
      </w:r>
    </w:p>
    <w:p>
      <w:r>
        <w:rPr>
          <w:b/>
        </w:rPr>
        <w:t xml:space="preserve">Platform: </w:t>
      </w:r>
      <w:r>
        <w:t xml:space="preserve">iOS/iPadOS   </w:t>
      </w:r>
      <w:r>
        <w:rPr>
          <w:b/>
        </w:rPr>
        <w:t xml:space="preserve">Cloud: </w:t>
      </w:r>
      <w:r>
        <w:t xml:space="preserve">Microsoft 365 Commercial   </w:t>
      </w:r>
      <w:r>
        <w:rPr>
          <w:b/>
        </w:rPr>
        <w:t xml:space="preserve">Policy type: </w:t>
      </w:r>
      <w:r>
        <w:t>Device Configuration</w:t>
      </w:r>
    </w:p>
    <w:p>
      <w:r>
        <w:rPr>
          <w:b/>
        </w:rPr>
        <w:t xml:space="preserve">Deployment state: </w:t>
      </w:r>
      <w:r>
        <w:t>Created but unassigned; assignment remains a technician decision for each client environment.</w:t>
      </w:r>
    </w:p>
    <w:p>
      <w:pPr>
        <w:pStyle w:val="Heading1"/>
      </w:pPr>
      <w:r>
        <w:t>What the Policy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</w:tcPr>
          <w:p>
            <w:r>
              <w:t>Control</w:t>
            </w:r>
          </w:p>
        </w:tc>
        <w:tc>
          <w:tcPr>
            <w:tcW w:type="dxa" w:w="2232"/>
            <w:vAlign w:val="center"/>
          </w:tcPr>
          <w:p>
            <w:r>
              <w:t>Configuration</w:t>
            </w:r>
          </w:p>
        </w:tc>
        <w:tc>
          <w:tcPr>
            <w:tcW w:type="dxa" w:w="4824"/>
            <w:vAlign w:val="center"/>
          </w:tcPr>
          <w:p>
            <w:r>
              <w:t>Business effect</w:t>
            </w:r>
          </w:p>
        </w:tc>
      </w:tr>
      <w:tr>
        <w:tc>
          <w:tcPr>
            <w:tcW w:type="dxa" w:w="2880"/>
            <w:vAlign w:val="center"/>
          </w:tcPr>
          <w:p>
            <w:r>
              <w:t>Corporate documents in personal/unmanaged apps</w:t>
            </w:r>
          </w:p>
        </w:tc>
        <w:tc>
          <w:tcPr>
            <w:tcW w:type="dxa" w:w="2232"/>
            <w:vAlign w:val="center"/>
          </w:tcPr>
          <w:p>
            <w:r>
              <w:t>Blocked</w:t>
            </w:r>
          </w:p>
        </w:tc>
        <w:tc>
          <w:tcPr>
            <w:tcW w:type="dxa" w:w="4824"/>
            <w:vAlign w:val="center"/>
          </w:tcPr>
          <w:p>
            <w:r>
              <w:t>Keeps managed corporate documents inside the managed application boundary</w:t>
            </w:r>
          </w:p>
        </w:tc>
      </w:tr>
      <w:tr>
        <w:tc>
          <w:tcPr>
            <w:tcW w:type="dxa" w:w="2880"/>
            <w:vAlign w:val="center"/>
          </w:tcPr>
          <w:p>
            <w:r>
              <w:t>Personal documents in corporate apps</w:t>
            </w:r>
          </w:p>
        </w:tc>
        <w:tc>
          <w:tcPr>
            <w:tcW w:type="dxa" w:w="2232"/>
            <w:vAlign w:val="center"/>
          </w:tcPr>
          <w:p>
            <w:r>
              <w:t>Not blocked here</w:t>
            </w:r>
          </w:p>
        </w:tc>
        <w:tc>
          <w:tcPr>
            <w:tcW w:type="dxa" w:w="4824"/>
            <w:vAlign w:val="center"/>
          </w:tcPr>
          <w:p>
            <w:r>
              <w:t>Reverse data flow remains separately configurable</w:t>
            </w:r>
          </w:p>
        </w:tc>
      </w:tr>
      <w:tr>
        <w:tc>
          <w:tcPr>
            <w:tcW w:type="dxa" w:w="2880"/>
            <w:vAlign w:val="center"/>
          </w:tcPr>
          <w:p>
            <w:r>
              <w:t>Managed pasteboard</w:t>
            </w:r>
          </w:p>
        </w:tc>
        <w:tc>
          <w:tcPr>
            <w:tcW w:type="dxa" w:w="2232"/>
            <w:vAlign w:val="center"/>
          </w:tcPr>
          <w:p>
            <w:r>
              <w:t>Not enabled here</w:t>
            </w:r>
          </w:p>
        </w:tc>
        <w:tc>
          <w:tcPr>
            <w:tcW w:type="dxa" w:w="4824"/>
            <w:vAlign w:val="center"/>
          </w:tcPr>
          <w:p>
            <w:r>
              <w:t>Clipboard behavior is handled by a separate policy</w:t>
            </w:r>
          </w:p>
        </w:tc>
      </w:tr>
      <w:tr>
        <w:tc>
          <w:tcPr>
            <w:tcW w:type="dxa" w:w="2880"/>
            <w:vAlign w:val="center"/>
          </w:tcPr>
          <w:p>
            <w:r>
              <w:t>AirDrop</w:t>
            </w:r>
          </w:p>
        </w:tc>
        <w:tc>
          <w:tcPr>
            <w:tcW w:type="dxa" w:w="2232"/>
            <w:vAlign w:val="center"/>
          </w:tcPr>
          <w:p>
            <w:r>
              <w:t>Not blocked here</w:t>
            </w:r>
          </w:p>
        </w:tc>
        <w:tc>
          <w:tcPr>
            <w:tcW w:type="dxa" w:w="4824"/>
            <w:vAlign w:val="center"/>
          </w:tcPr>
          <w:p>
            <w:r>
              <w:t>AirDrop restrictions are handled separately</w:t>
            </w:r>
          </w:p>
        </w:tc>
      </w:tr>
      <w:tr>
        <w:tc>
          <w:tcPr>
            <w:tcW w:type="dxa" w:w="2880"/>
            <w:vAlign w:val="center"/>
          </w:tcPr>
          <w:p>
            <w:r>
              <w:t>Policy assignment</w:t>
            </w:r>
          </w:p>
        </w:tc>
        <w:tc>
          <w:tcPr>
            <w:tcW w:type="dxa" w:w="2232"/>
            <w:vAlign w:val="center"/>
          </w:tcPr>
          <w:p>
            <w:r>
              <w:t>None on creation</w:t>
            </w:r>
          </w:p>
        </w:tc>
        <w:tc>
          <w:tcPr>
            <w:tcW w:type="dxa" w:w="4824"/>
            <w:vAlign w:val="center"/>
          </w:tcPr>
          <w:p>
            <w:r>
              <w:t>Technician determines the appropriate deployment scope</w:t>
            </w:r>
          </w:p>
        </w:tc>
      </w:tr>
    </w:tbl>
    <w:p>
      <w:pPr>
        <w:pStyle w:val="Heading1"/>
      </w:pPr>
      <w:r>
        <w:t>Executive Summary</w:t>
      </w:r>
    </w:p>
    <w:p>
      <w:pPr>
        <w:spacing w:after="100"/>
      </w:pPr>
      <w:r>
        <w:t>This policy provides a focused mobile data-loss-prevention control by preventing corporate-managed documents from being opened, viewed, or saved in unmanaged personal applications on enrolled iOS/iPadOS devices.</w:t>
      </w:r>
    </w:p>
    <w:p>
      <w:pPr>
        <w:spacing w:after="100"/>
      </w:pPr>
      <w:r>
        <w:t>The core setting is documentsBlockManagedDocumentsInUnmanagedApps = true. In practical terms, corporate documents stay within the managed application boundary instead of being handed off to personal apps such as consumer file-storage or messaging applications.</w:t>
      </w:r>
    </w:p>
    <w:p>
      <w:pPr>
        <w:spacing w:after="100"/>
      </w:pPr>
      <w:r>
        <w:t>This protects organizational data while leaving the reverse flow—personal documents into corporate apps—outside this policy and available for separate configuration.</w:t>
      </w:r>
    </w:p>
    <w:p>
      <w:pPr>
        <w:pStyle w:val="Heading1"/>
      </w:pPr>
      <w:r>
        <w:t>How It Works</w:t>
      </w:r>
    </w:p>
    <w:p>
      <w:pPr>
        <w:spacing w:after="100"/>
      </w:pPr>
      <w:r>
        <w:t>The script creates or updates an Intune iOS/iPadOS general device configuration through Microsoft Graph. It uses exact display-name matching, stops if duplicate policies are detected, and records deployment results to C:\Temp.</w:t>
      </w:r>
    </w:p>
    <w:p>
      <w:pPr>
        <w:spacing w:after="100"/>
      </w:pPr>
      <w:r>
        <w:t>When the restriction is applied, iOS/iPadOS managed open-in behavior blocks managed corporate documents from being opened in unmanaged apps. Microsoft documents this setting as preventing corporate documents from being viewed in unmanaged applications; one example is preventing a file in OneDrive from being saved to Dropbox.</w:t>
      </w:r>
    </w:p>
    <w:p>
      <w:pPr>
        <w:spacing w:after="100"/>
      </w:pPr>
      <w:r>
        <w:t>New policies remain unassigned, and existing assignments are preserved when an existing policy is updated.</w:t>
      </w:r>
    </w:p>
    <w:p>
      <w:pPr>
        <w:pStyle w:val="Heading1"/>
      </w:pPr>
      <w:r>
        <w:t>Why This Policy Is Important</w:t>
      </w:r>
    </w:p>
    <w:p>
      <w:pPr>
        <w:spacing w:after="100"/>
      </w:pPr>
      <w:r>
        <w:t>Without a managed-open-in restriction, a user could potentially move a corporate file from an organization-managed application into a personal application that is outside Intune management. Once the data crosses that boundary, the organization may lose control over retention, sharing, backup, and removal of the information.</w:t>
      </w:r>
    </w:p>
    <w:p>
      <w:pPr>
        <w:spacing w:after="100"/>
      </w:pPr>
      <w:r>
        <w:t>This policy therefore establishes a clear boundary around corporate documents and reduces a common mobile data-exfiltration path while still allowing the device to support personal applications.</w:t>
      </w:r>
    </w:p>
    <w:p>
      <w:pPr>
        <w:pStyle w:val="Heading1"/>
      </w:pPr>
      <w:r>
        <w:t>User Impact</w:t>
      </w:r>
    </w:p>
    <w:p>
      <w:pPr>
        <w:spacing w:after="100"/>
      </w:pPr>
      <w:r>
        <w:t>Expected impact: Moderate.</w:t>
      </w:r>
    </w:p>
    <w:p>
      <w:pPr>
        <w:spacing w:after="100"/>
      </w:pPr>
      <w:r>
        <w:t>Users may be unable to use personal or unmanaged applications to open, save, or receive corporate documents. This can affect workflows that previously relied on consumer file-storage, messaging, PDF, note-taking, or other unmanaged apps.</w:t>
      </w:r>
    </w:p>
    <w:p>
      <w:pPr>
        <w:spacing w:after="100"/>
      </w:pPr>
      <w:r>
        <w:t>Microsoft also notes that enabling this restriction blocks third-party keyboards installed from the App Store, so this user-experience effect should be included in pilot testing and communications.</w:t>
      </w:r>
    </w:p>
    <w:p>
      <w:pPr>
        <w:pStyle w:val="Heading1"/>
      </w:pPr>
      <w:r>
        <w:t>Security Posture</w:t>
      </w:r>
    </w:p>
    <w:p>
      <w:pPr>
        <w:spacing w:after="100"/>
      </w:pPr>
      <w:r>
        <w:t>Enhanced mobile data-loss prevention.</w:t>
      </w:r>
    </w:p>
    <w:p>
      <w:pPr>
        <w:spacing w:after="100"/>
      </w:pPr>
      <w:r>
        <w:t>This policy is appropriate for organizations that want corporate documents to remain within managed applications and managed destinations on enrolled iOS/iPadOS devices.</w:t>
      </w:r>
    </w:p>
    <w:p>
      <w:pPr>
        <w:pStyle w:val="Heading1"/>
      </w:pPr>
      <w:r>
        <w:t>Deployment and Assignment</w:t>
      </w:r>
    </w:p>
    <w:p>
      <w:pPr>
        <w:spacing w:after="100"/>
      </w:pPr>
      <w:r>
        <w:t>The script does not automatically target users, devices, or groups. New policies remain unassigned and existing assignments are preserved during updates.</w:t>
      </w:r>
    </w:p>
    <w:p>
      <w:pPr>
        <w:spacing w:after="100"/>
      </w:pPr>
      <w:r>
        <w:t>Before deployment, the technician should evaluate the client’s device ownership model, managed/unmanaged data-transfer requirements, App Protection Policy strategy, contact-export requirements, and other overlapping iOS/iPadOS restrictions.</w:t>
      </w:r>
    </w:p>
    <w:p>
      <w:pPr>
        <w:pStyle w:val="Heading1"/>
      </w:pPr>
      <w:r>
        <w:t>Approval Recommendation</w:t>
      </w:r>
    </w:p>
    <w:p>
      <w:pPr>
        <w:spacing w:after="100"/>
      </w:pPr>
      <w:r>
        <w:t>Recommended for approval as a standard iOS/iPadOS corporate-data protection control for clients that want managed corporate documents to remain inside managed applications and managed destinations.</w:t>
      </w:r>
    </w:p>
    <w:p>
      <w:pPr>
        <w:spacing w:after="100"/>
      </w:pPr>
      <w:r>
        <w:t>Assignment should remain technician-controlled so deployment can be aligned to each client’s business workflows and security requirements.</w:t>
      </w:r>
    </w:p>
    <w:p>
      <w:pPr>
        <w:pStyle w:val="Heading1"/>
      </w:pPr>
      <w:r>
        <w:t>Implementation Note / Exception</w:t>
      </w:r>
    </w:p>
    <w:p>
      <w:pPr>
        <w:spacing w:after="100"/>
      </w:pPr>
      <w:r>
        <w:t>The intended security setting is documentsBlockManagedDocumentsInUnmanagedApps = true. The reverse control, documentsBlockUnmanagedDocumentsInManagedApps, remains false in this profile, so executive approval should be understood as approval to block corporate-to-personal document transfer—not to block personal documents from opening in corporate apps.</w:t>
      </w:r>
    </w:p>
    <w:p>
      <w:pPr>
        <w:spacing w:after="100"/>
      </w:pPr>
      <w:r>
        <w:t>This script was generated from a broad exported iOS/iPadOS Device Restrictions payload. It explicitly includes many unrelated settings with false, null, or default values, so pilot deployment should include a configuration-conflict review against other iOS/iPadOS restriction profiles.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